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C047C" w14:textId="300E62B9" w:rsidR="00D77EBF" w:rsidRPr="008866C5" w:rsidRDefault="00D77EBF" w:rsidP="00D77EBF">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C3130D" w:rsidRPr="00C3130D">
        <w:rPr>
          <w:rFonts w:cs="Arial"/>
          <w:noProof w:val="0"/>
          <w:sz w:val="24"/>
          <w:lang w:eastAsia="zh-CN"/>
        </w:rPr>
        <w:t>R3-234181</w:t>
      </w:r>
    </w:p>
    <w:p w14:paraId="2EE4F099" w14:textId="77777777" w:rsidR="00D77EBF" w:rsidRDefault="00D77EBF" w:rsidP="00D77EBF">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August </w:t>
      </w:r>
      <w:r w:rsidRPr="00663AA3">
        <w:rPr>
          <w:rFonts w:cs="Arial"/>
          <w:bCs/>
          <w:noProof w:val="0"/>
          <w:sz w:val="24"/>
          <w:szCs w:val="24"/>
        </w:rPr>
        <w:t>2023</w:t>
      </w:r>
    </w:p>
    <w:p w14:paraId="0567FBEF" w14:textId="77777777" w:rsidR="00BF58D1" w:rsidRPr="00D77EBF" w:rsidRDefault="00BF58D1" w:rsidP="00BF58D1">
      <w:pPr>
        <w:pStyle w:val="ac"/>
        <w:rPr>
          <w:rFonts w:eastAsiaTheme="minorEastAsia"/>
          <w:lang w:eastAsia="zh-CN"/>
        </w:rPr>
      </w:pPr>
    </w:p>
    <w:p w14:paraId="061B5772" w14:textId="3D075F6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56511D">
        <w:rPr>
          <w:rFonts w:ascii="Arial" w:hAnsi="Arial" w:cs="Arial"/>
          <w:b/>
          <w:bCs/>
          <w:sz w:val="24"/>
        </w:rPr>
        <w:t>11.</w:t>
      </w:r>
      <w:r w:rsidR="005E39E6">
        <w:rPr>
          <w:rFonts w:ascii="Arial" w:hAnsi="Arial" w:cs="Arial"/>
          <w:b/>
          <w:bCs/>
          <w:sz w:val="24"/>
        </w:rPr>
        <w:t>4</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332572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595125" w:rsidRPr="00595125">
        <w:rPr>
          <w:rFonts w:ascii="Arial" w:hAnsi="Arial" w:cs="Arial"/>
          <w:b/>
          <w:bCs/>
          <w:sz w:val="24"/>
        </w:rPr>
        <w:t>QoE measurement</w:t>
      </w:r>
      <w:r w:rsidR="00595125">
        <w:rPr>
          <w:rFonts w:ascii="Arial" w:hAnsi="Arial" w:cs="Arial"/>
          <w:b/>
          <w:bCs/>
          <w:sz w:val="24"/>
        </w:rPr>
        <w:t xml:space="preserve"> </w:t>
      </w:r>
      <w:r w:rsidR="00595125" w:rsidRPr="00595125">
        <w:rPr>
          <w:rFonts w:ascii="Arial" w:hAnsi="Arial" w:cs="Arial"/>
          <w:b/>
          <w:bCs/>
          <w:sz w:val="24"/>
        </w:rPr>
        <w:t>during</w:t>
      </w:r>
      <w:r w:rsidR="00595125" w:rsidRPr="00595125">
        <w:rPr>
          <w:rFonts w:ascii="Arial" w:hAnsi="Arial" w:cs="Arial" w:hint="eastAsia"/>
          <w:b/>
          <w:bCs/>
          <w:sz w:val="24"/>
        </w:rPr>
        <w:t xml:space="preserve"> intra-5GC</w:t>
      </w:r>
      <w:r w:rsidR="00595125" w:rsidRPr="00595125">
        <w:rPr>
          <w:rFonts w:ascii="Arial" w:hAnsi="Arial" w:cs="Arial"/>
          <w:b/>
          <w:bCs/>
          <w:sz w:val="24"/>
        </w:rPr>
        <w:t xml:space="preserve"> inter-RAT handover</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53571810" w14:textId="77777777" w:rsidR="004332ED" w:rsidRDefault="004332ED" w:rsidP="004332ED">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RAN3#119bis-e meeting, it was agreed and FFSs:</w:t>
      </w:r>
    </w:p>
    <w:p w14:paraId="4F430942" w14:textId="77777777" w:rsidR="004332ED" w:rsidRPr="00E361AE" w:rsidRDefault="004332ED" w:rsidP="004332ED">
      <w:pPr>
        <w:widowControl w:val="0"/>
        <w:spacing w:after="0"/>
        <w:rPr>
          <w:rFonts w:ascii="Calibri" w:hAnsi="Calibri" w:cs="Calibri"/>
          <w:b/>
          <w:color w:val="008000"/>
          <w:sz w:val="18"/>
          <w:lang w:eastAsia="en-US"/>
        </w:rPr>
      </w:pPr>
      <w:r w:rsidRPr="00E361AE">
        <w:rPr>
          <w:rFonts w:ascii="Calibri" w:hAnsi="Calibri" w:cs="Calibri"/>
          <w:b/>
          <w:color w:val="008000"/>
          <w:sz w:val="18"/>
          <w:lang w:eastAsia="en-US"/>
        </w:rPr>
        <w:t>WA: For HO from LTE/5GC to NR, there is no impacts to RAN3.</w:t>
      </w:r>
    </w:p>
    <w:p w14:paraId="59C714F2" w14:textId="77777777" w:rsidR="004332ED" w:rsidRDefault="004332ED" w:rsidP="004332ED">
      <w:pPr>
        <w:widowControl w:val="0"/>
        <w:spacing w:afterLines="50" w:after="120"/>
        <w:rPr>
          <w:rFonts w:ascii="Calibri" w:hAnsi="Calibri" w:cs="Calibri"/>
          <w:b/>
          <w:color w:val="0000FF"/>
          <w:sz w:val="18"/>
          <w:lang w:eastAsia="en-US"/>
        </w:rPr>
      </w:pPr>
      <w:r w:rsidRPr="00E361AE">
        <w:rPr>
          <w:rFonts w:ascii="Calibri" w:hAnsi="Calibri" w:cs="Calibri"/>
          <w:b/>
          <w:color w:val="0000FF"/>
          <w:sz w:val="18"/>
          <w:lang w:eastAsia="en-US"/>
        </w:rPr>
        <w:t xml:space="preserve">For HO from NR to LTE/5GC case, identify the impact on </w:t>
      </w:r>
      <w:proofErr w:type="gramStart"/>
      <w:r w:rsidRPr="00E361AE">
        <w:rPr>
          <w:rFonts w:ascii="Calibri" w:hAnsi="Calibri" w:cs="Calibri"/>
          <w:b/>
          <w:color w:val="0000FF"/>
          <w:sz w:val="18"/>
          <w:lang w:eastAsia="en-US"/>
        </w:rPr>
        <w:t>RAN3</w:t>
      </w:r>
      <w:proofErr w:type="gramEnd"/>
    </w:p>
    <w:p w14:paraId="457B7E4D" w14:textId="77777777" w:rsidR="004332ED" w:rsidRDefault="004332ED" w:rsidP="004332ED">
      <w:pPr>
        <w:pStyle w:val="Proposal"/>
        <w:numPr>
          <w:ilvl w:val="0"/>
          <w:numId w:val="0"/>
        </w:numPr>
        <w:jc w:val="left"/>
        <w:rPr>
          <w:rFonts w:asciiTheme="majorHAnsi" w:eastAsiaTheme="minorEastAsia" w:hAnsiTheme="majorHAnsi"/>
          <w:b w:val="0"/>
          <w:bCs w:val="0"/>
        </w:rPr>
      </w:pPr>
      <w:r w:rsidRPr="00300B4D">
        <w:rPr>
          <w:rFonts w:asciiTheme="majorHAnsi" w:eastAsiaTheme="minorEastAsia" w:hAnsiTheme="majorHAnsi" w:hint="eastAsia"/>
          <w:b w:val="0"/>
          <w:bCs w:val="0"/>
        </w:rPr>
        <w:t>I</w:t>
      </w:r>
      <w:r w:rsidRPr="00300B4D">
        <w:rPr>
          <w:rFonts w:asciiTheme="majorHAnsi" w:eastAsiaTheme="minorEastAsia" w:hAnsiTheme="majorHAnsi"/>
          <w:b w:val="0"/>
          <w:bCs w:val="0"/>
        </w:rPr>
        <w:t xml:space="preserve">n </w:t>
      </w:r>
      <w:r>
        <w:rPr>
          <w:rFonts w:asciiTheme="majorHAnsi" w:eastAsiaTheme="minorEastAsia" w:hAnsiTheme="majorHAnsi"/>
          <w:b w:val="0"/>
          <w:bCs w:val="0"/>
        </w:rPr>
        <w:t>RAN3#120 meeting, it was agreed that:</w:t>
      </w:r>
    </w:p>
    <w:p w14:paraId="2DA92983" w14:textId="77777777" w:rsidR="004332ED" w:rsidRPr="00511810" w:rsidRDefault="004332ED" w:rsidP="004332ED">
      <w:pPr>
        <w:pStyle w:val="25"/>
        <w:overflowPunct w:val="0"/>
        <w:autoSpaceDE w:val="0"/>
        <w:adjustRightInd w:val="0"/>
        <w:ind w:left="0"/>
        <w:contextualSpacing w:val="0"/>
        <w:textAlignment w:val="baseline"/>
        <w:rPr>
          <w:rFonts w:ascii="Calibri" w:hAnsi="Calibri" w:cs="Calibri"/>
          <w:b/>
          <w:color w:val="008000"/>
          <w:sz w:val="18"/>
          <w:szCs w:val="22"/>
          <w:lang w:eastAsia="en-US"/>
        </w:rPr>
      </w:pPr>
      <w:r w:rsidRPr="00511810">
        <w:rPr>
          <w:rFonts w:ascii="Calibri" w:hAnsi="Calibri" w:cs="Calibri"/>
          <w:b/>
          <w:color w:val="008000"/>
          <w:sz w:val="18"/>
          <w:szCs w:val="22"/>
          <w:lang w:eastAsia="en-US"/>
        </w:rPr>
        <w:t xml:space="preserve">WA: From NR to LTE, the source node adapts to the target node on deciding </w:t>
      </w:r>
      <w:r>
        <w:rPr>
          <w:rFonts w:ascii="Calibri" w:hAnsi="Calibri" w:cs="Calibri"/>
          <w:b/>
          <w:color w:val="008000"/>
          <w:sz w:val="18"/>
          <w:szCs w:val="22"/>
          <w:lang w:eastAsia="en-US"/>
        </w:rPr>
        <w:t>which one of the</w:t>
      </w:r>
      <w:r w:rsidRPr="00511810">
        <w:rPr>
          <w:rFonts w:ascii="Calibri" w:hAnsi="Calibri" w:cs="Calibri"/>
          <w:b/>
          <w:color w:val="008000"/>
          <w:sz w:val="18"/>
          <w:szCs w:val="22"/>
          <w:lang w:eastAsia="en-US"/>
        </w:rPr>
        <w:t xml:space="preserve"> QoE configuration to keep.</w:t>
      </w:r>
    </w:p>
    <w:p w14:paraId="623982AD" w14:textId="6237E740" w:rsidR="004332ED" w:rsidRPr="005F4FF9" w:rsidRDefault="004332ED" w:rsidP="005F4FF9">
      <w:pPr>
        <w:pStyle w:val="Proposal"/>
        <w:numPr>
          <w:ilvl w:val="0"/>
          <w:numId w:val="0"/>
        </w:numPr>
        <w:jc w:val="left"/>
        <w:rPr>
          <w:rFonts w:asciiTheme="majorHAnsi" w:eastAsiaTheme="minorEastAsia" w:hAnsiTheme="majorHAnsi"/>
          <w:b w:val="0"/>
          <w:bCs w:val="0"/>
        </w:rPr>
      </w:pPr>
      <w:r w:rsidRPr="005F4FF9">
        <w:rPr>
          <w:rFonts w:asciiTheme="majorHAnsi" w:eastAsiaTheme="minorEastAsia" w:hAnsiTheme="majorHAnsi"/>
          <w:b w:val="0"/>
          <w:bCs w:val="0"/>
        </w:rPr>
        <w:t xml:space="preserve">This </w:t>
      </w:r>
      <w:r w:rsidR="00893DC0">
        <w:rPr>
          <w:rFonts w:asciiTheme="majorHAnsi" w:eastAsiaTheme="minorEastAsia" w:hAnsiTheme="majorHAnsi"/>
          <w:b w:val="0"/>
          <w:bCs w:val="0"/>
        </w:rPr>
        <w:t xml:space="preserve">contribution </w:t>
      </w:r>
      <w:r w:rsidR="00FB4C41">
        <w:rPr>
          <w:rFonts w:asciiTheme="majorHAnsi" w:eastAsiaTheme="minorEastAsia" w:hAnsiTheme="majorHAnsi"/>
          <w:b w:val="0"/>
          <w:bCs w:val="0"/>
        </w:rPr>
        <w:t xml:space="preserve">discusses </w:t>
      </w:r>
      <w:r w:rsidR="00806FF9">
        <w:rPr>
          <w:rFonts w:asciiTheme="majorHAnsi" w:eastAsiaTheme="minorEastAsia" w:hAnsiTheme="majorHAnsi"/>
          <w:b w:val="0"/>
          <w:bCs w:val="0"/>
        </w:rPr>
        <w:t xml:space="preserve">the potential solutions to support </w:t>
      </w:r>
      <w:r w:rsidR="00806FF9" w:rsidRPr="00806FF9">
        <w:rPr>
          <w:rFonts w:asciiTheme="majorHAnsi" w:eastAsiaTheme="minorEastAsia" w:hAnsiTheme="majorHAnsi"/>
          <w:b w:val="0"/>
          <w:bCs w:val="0"/>
        </w:rPr>
        <w:t>the continuity of</w:t>
      </w:r>
      <w:r w:rsidR="00806FF9" w:rsidRPr="00806FF9">
        <w:rPr>
          <w:rFonts w:asciiTheme="majorHAnsi" w:eastAsiaTheme="minorEastAsia" w:hAnsiTheme="majorHAnsi" w:hint="eastAsia"/>
          <w:b w:val="0"/>
          <w:bCs w:val="0"/>
        </w:rPr>
        <w:t xml:space="preserve"> legacy</w:t>
      </w:r>
      <w:r w:rsidR="00806FF9" w:rsidRPr="00806FF9">
        <w:rPr>
          <w:rFonts w:asciiTheme="majorHAnsi" w:eastAsiaTheme="minorEastAsia" w:hAnsiTheme="majorHAnsi"/>
          <w:b w:val="0"/>
          <w:bCs w:val="0"/>
        </w:rPr>
        <w:t xml:space="preserve"> QoE measurement job</w:t>
      </w:r>
      <w:r w:rsidR="00806FF9" w:rsidRPr="00806FF9">
        <w:rPr>
          <w:rFonts w:asciiTheme="majorHAnsi" w:eastAsiaTheme="minorEastAsia" w:hAnsiTheme="majorHAnsi" w:hint="eastAsia"/>
          <w:b w:val="0"/>
          <w:bCs w:val="0"/>
        </w:rPr>
        <w:t xml:space="preserve"> </w:t>
      </w:r>
      <w:r w:rsidR="00806FF9" w:rsidRPr="00806FF9">
        <w:rPr>
          <w:rFonts w:asciiTheme="majorHAnsi" w:eastAsiaTheme="minorEastAsia" w:hAnsiTheme="majorHAnsi"/>
          <w:b w:val="0"/>
          <w:bCs w:val="0"/>
        </w:rPr>
        <w:t>for streaming</w:t>
      </w:r>
      <w:r w:rsidR="00806FF9" w:rsidRPr="00806FF9">
        <w:rPr>
          <w:rFonts w:asciiTheme="majorHAnsi" w:eastAsiaTheme="minorEastAsia" w:hAnsiTheme="majorHAnsi" w:hint="eastAsia"/>
          <w:b w:val="0"/>
          <w:bCs w:val="0"/>
        </w:rPr>
        <w:t xml:space="preserve"> and MTSI service </w:t>
      </w:r>
      <w:r w:rsidR="00806FF9" w:rsidRPr="00806FF9">
        <w:rPr>
          <w:rFonts w:asciiTheme="majorHAnsi" w:eastAsiaTheme="minorEastAsia" w:hAnsiTheme="majorHAnsi"/>
          <w:b w:val="0"/>
          <w:bCs w:val="0"/>
        </w:rPr>
        <w:t>during</w:t>
      </w:r>
      <w:r w:rsidR="00806FF9" w:rsidRPr="00806FF9">
        <w:rPr>
          <w:rFonts w:asciiTheme="majorHAnsi" w:eastAsiaTheme="minorEastAsia" w:hAnsiTheme="majorHAnsi" w:hint="eastAsia"/>
          <w:b w:val="0"/>
          <w:bCs w:val="0"/>
        </w:rPr>
        <w:t xml:space="preserve"> intra-5GC</w:t>
      </w:r>
      <w:r w:rsidR="00806FF9" w:rsidRPr="00806FF9">
        <w:rPr>
          <w:rFonts w:asciiTheme="majorHAnsi" w:eastAsiaTheme="minorEastAsia" w:hAnsiTheme="majorHAnsi"/>
          <w:b w:val="0"/>
          <w:bCs w:val="0"/>
        </w:rPr>
        <w:t xml:space="preserve"> inter-RAT handover</w:t>
      </w:r>
      <w:r w:rsidR="00806FF9">
        <w:rPr>
          <w:rFonts w:asciiTheme="majorHAnsi" w:eastAsiaTheme="minorEastAsia" w:hAnsiTheme="majorHAnsi"/>
          <w:b w:val="0"/>
          <w:bCs w:val="0"/>
        </w:rPr>
        <w:t>.</w:t>
      </w:r>
    </w:p>
    <w:p w14:paraId="7D3FE11E" w14:textId="44A17E40" w:rsidR="00D57AC9" w:rsidRPr="00273715"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7A4AE5F9" w14:textId="14B8091F" w:rsidR="00F4497F" w:rsidRPr="00F4497F" w:rsidRDefault="00F4497F" w:rsidP="00BC58C8">
      <w:pPr>
        <w:pStyle w:val="Proposal"/>
        <w:numPr>
          <w:ilvl w:val="0"/>
          <w:numId w:val="0"/>
        </w:numPr>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NR to LTE/5GC</w:t>
      </w:r>
    </w:p>
    <w:p w14:paraId="70A33F52" w14:textId="5827EF66" w:rsidR="001026A7" w:rsidRDefault="001026A7">
      <w:pPr>
        <w:pStyle w:val="Proposal"/>
        <w:numPr>
          <w:ilvl w:val="0"/>
          <w:numId w:val="10"/>
        </w:numPr>
        <w:jc w:val="left"/>
        <w:rPr>
          <w:rFonts w:asciiTheme="majorHAnsi" w:eastAsiaTheme="minorEastAsia" w:hAnsiTheme="majorHAnsi"/>
          <w:b w:val="0"/>
          <w:bCs w:val="0"/>
        </w:rPr>
      </w:pPr>
      <w:bookmarkStart w:id="4" w:name="OLE_LINK4"/>
      <w:r w:rsidRPr="001026A7">
        <w:rPr>
          <w:rFonts w:asciiTheme="majorHAnsi" w:eastAsiaTheme="minorEastAsia" w:hAnsiTheme="majorHAnsi"/>
          <w:b w:val="0"/>
          <w:bCs w:val="0"/>
        </w:rPr>
        <w:t>For a same service type (e.g., service type = streaming), the OAM system or CN provides more than one QoE measurements configurations (</w:t>
      </w:r>
      <w:proofErr w:type="gramStart"/>
      <w:r w:rsidRPr="001026A7">
        <w:rPr>
          <w:rFonts w:asciiTheme="majorHAnsi" w:eastAsiaTheme="minorEastAsia" w:hAnsiTheme="majorHAnsi"/>
          <w:b w:val="0"/>
          <w:bCs w:val="0"/>
        </w:rPr>
        <w:t>i.e.</w:t>
      </w:r>
      <w:proofErr w:type="gramEnd"/>
      <w:r w:rsidRPr="001026A7">
        <w:rPr>
          <w:rFonts w:asciiTheme="majorHAnsi" w:eastAsiaTheme="minorEastAsia" w:hAnsiTheme="majorHAnsi"/>
          <w:b w:val="0"/>
          <w:bCs w:val="0"/>
        </w:rPr>
        <w:t xml:space="preserve"> application layer measurements)</w:t>
      </w:r>
      <w:bookmarkEnd w:id="4"/>
      <w:r w:rsidRPr="001026A7">
        <w:rPr>
          <w:rFonts w:asciiTheme="majorHAnsi" w:eastAsiaTheme="minorEastAsia" w:hAnsiTheme="majorHAnsi"/>
          <w:b w:val="0"/>
          <w:bCs w:val="0"/>
        </w:rPr>
        <w:t xml:space="preserve">. In this </w:t>
      </w:r>
      <w:r>
        <w:rPr>
          <w:rFonts w:asciiTheme="majorHAnsi" w:eastAsiaTheme="minorEastAsia" w:hAnsiTheme="majorHAnsi"/>
          <w:b w:val="0"/>
          <w:bCs w:val="0"/>
        </w:rPr>
        <w:t>example</w:t>
      </w:r>
      <w:r w:rsidRPr="001026A7">
        <w:rPr>
          <w:rFonts w:asciiTheme="majorHAnsi" w:eastAsiaTheme="minorEastAsia" w:hAnsiTheme="majorHAnsi"/>
          <w:b w:val="0"/>
          <w:bCs w:val="0"/>
        </w:rPr>
        <w:t>, two QoE measurement configurations are provide</w:t>
      </w:r>
      <w:r>
        <w:rPr>
          <w:rFonts w:asciiTheme="majorHAnsi" w:eastAsiaTheme="minorEastAsia" w:hAnsiTheme="majorHAnsi"/>
          <w:b w:val="0"/>
          <w:bCs w:val="0"/>
        </w:rPr>
        <w:t>d</w:t>
      </w:r>
      <w:r w:rsidRPr="001026A7">
        <w:rPr>
          <w:rFonts w:asciiTheme="majorHAnsi" w:eastAsiaTheme="minorEastAsia" w:hAnsiTheme="majorHAnsi"/>
          <w:b w:val="0"/>
          <w:bCs w:val="0"/>
        </w:rPr>
        <w:t xml:space="preserve"> and each one is uniquely identified by a QoE reference ID (i.e., QoE reference ID =1 and QoE reference ID =2).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ng-eNB</w:t>
      </w:r>
      <w:r w:rsidRPr="001026A7">
        <w:rPr>
          <w:rFonts w:asciiTheme="majorHAnsi" w:eastAsiaTheme="minorEastAsia" w:hAnsiTheme="majorHAnsi"/>
          <w:b w:val="0"/>
          <w:bCs w:val="0"/>
        </w:rPr>
        <w:t xml:space="preserve">. </w:t>
      </w:r>
    </w:p>
    <w:p w14:paraId="73429F88" w14:textId="46876701" w:rsidR="00F4497F"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provides UE an </w:t>
      </w:r>
      <w:proofErr w:type="gramStart"/>
      <w:r w:rsidRPr="001026A7">
        <w:rPr>
          <w:rFonts w:asciiTheme="majorHAnsi" w:eastAsiaTheme="minorEastAsia" w:hAnsiTheme="majorHAnsi"/>
          <w:b w:val="0"/>
          <w:bCs w:val="0"/>
        </w:rPr>
        <w:t>Application</w:t>
      </w:r>
      <w:proofErr w:type="gramEnd"/>
      <w:r w:rsidRPr="001026A7">
        <w:rPr>
          <w:rFonts w:asciiTheme="majorHAnsi" w:eastAsiaTheme="minorEastAsia" w:hAnsiTheme="majorHAnsi"/>
          <w:b w:val="0"/>
          <w:bCs w:val="0"/>
        </w:rPr>
        <w:t xml:space="preserve"> layer configuration (i.e. AppLayerMeasConfig IE) in the RRCReconfiguration message (there can be multiple configurations in the same message). </w:t>
      </w:r>
      <w:r w:rsidRPr="001026A7">
        <w:rPr>
          <w:rFonts w:asciiTheme="majorHAnsi" w:eastAsiaTheme="minorEastAsia" w:hAnsiTheme="majorHAnsi"/>
        </w:rPr>
        <w:t>For the QoE measurement, the gNB provides the inter-RAT QoE continuity indication to the UE as received from OAM system or CN.</w:t>
      </w:r>
      <w:r w:rsidRPr="001026A7">
        <w:rPr>
          <w:rFonts w:asciiTheme="majorHAnsi" w:eastAsiaTheme="minorEastAsia" w:hAnsiTheme="majorHAnsi"/>
          <w:b w:val="0"/>
          <w:bCs w:val="0"/>
        </w:rPr>
        <w:t xml:space="preserve"> In this example, the QoE measurement with measConfigAppLayerId = 1 is provided the inter-RAT QoE continuity indication</w:t>
      </w:r>
      <w:r>
        <w:rPr>
          <w:rFonts w:asciiTheme="majorHAnsi" w:eastAsiaTheme="minorEastAsia" w:hAnsiTheme="majorHAnsi"/>
          <w:b w:val="0"/>
          <w:bCs w:val="0"/>
        </w:rPr>
        <w:t>.</w:t>
      </w:r>
    </w:p>
    <w:p w14:paraId="25692B83" w14:textId="364C86E1" w:rsidR="001026A7" w:rsidRDefault="001026A7" w:rsidP="001026A7">
      <w:pPr>
        <w:pStyle w:val="Proposal"/>
        <w:numPr>
          <w:ilvl w:val="0"/>
          <w:numId w:val="0"/>
        </w:numPr>
        <w:jc w:val="center"/>
        <w:rPr>
          <w:rFonts w:eastAsiaTheme="minorEastAsia"/>
          <w:lang w:val="en-US"/>
        </w:rPr>
      </w:pPr>
      <w:r w:rsidRPr="00260F7D">
        <w:rPr>
          <w:rFonts w:eastAsiaTheme="minorEastAsia"/>
          <w:lang w:val="en-US"/>
        </w:rPr>
        <w:object w:dxaOrig="10360" w:dyaOrig="7980" w14:anchorId="4EB70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09pt" o:ole="">
            <v:imagedata r:id="rId11" o:title=""/>
          </v:shape>
          <o:OLEObject Type="Embed" ProgID="Visio.Drawing.15" ShapeID="_x0000_i1025" DrawAspect="Content" ObjectID="_1753249065" r:id="rId12"/>
        </w:object>
      </w:r>
    </w:p>
    <w:p w14:paraId="30DF27FA" w14:textId="53EB1C2A" w:rsidR="001026A7" w:rsidRPr="00044FA3" w:rsidRDefault="00044FA3" w:rsidP="001026A7">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1. Procedures of </w:t>
      </w:r>
      <w:r w:rsidRPr="009A6803">
        <w:rPr>
          <w:rFonts w:asciiTheme="majorHAnsi" w:eastAsiaTheme="minorEastAsia" w:hAnsiTheme="majorHAnsi"/>
        </w:rPr>
        <w:t xml:space="preserve">QoE measurement continuity for HO from NR to LTE/5GC </w:t>
      </w:r>
    </w:p>
    <w:p w14:paraId="7301453D" w14:textId="0AAD3826"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decides to perform </w:t>
      </w:r>
      <w:r w:rsidR="00902BA5">
        <w:rPr>
          <w:rFonts w:asciiTheme="majorHAnsi" w:eastAsiaTheme="minorEastAsia" w:hAnsiTheme="majorHAnsi"/>
          <w:b w:val="0"/>
          <w:bCs w:val="0"/>
        </w:rPr>
        <w:t>intra</w:t>
      </w:r>
      <w:r w:rsidRPr="001026A7">
        <w:rPr>
          <w:rFonts w:asciiTheme="majorHAnsi" w:eastAsiaTheme="minorEastAsia" w:hAnsiTheme="majorHAnsi"/>
          <w:b w:val="0"/>
          <w:bCs w:val="0"/>
        </w:rPr>
        <w:t>-system inter-RAT handover to the target ng-eNB. The source gNB only includes the QoE measurement configuration that is provided ‘IRAT continuity indication</w:t>
      </w:r>
      <w:r>
        <w:rPr>
          <w:rFonts w:asciiTheme="majorHAnsi" w:eastAsiaTheme="minorEastAsia" w:hAnsiTheme="majorHAnsi"/>
          <w:b w:val="0"/>
          <w:bCs w:val="0"/>
        </w:rPr>
        <w:t>’</w:t>
      </w:r>
      <w:r w:rsidRPr="001026A7">
        <w:rPr>
          <w:rFonts w:asciiTheme="majorHAnsi" w:eastAsiaTheme="minorEastAsia" w:hAnsiTheme="majorHAnsi"/>
          <w:b w:val="0"/>
          <w:bCs w:val="0"/>
        </w:rPr>
        <w:t xml:space="preserve"> to the ng-eNB in the Handover Request message. 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source gNB only provides the QoE measurement configuration with QoE reference ID =1 to the target ng-eNB. </w:t>
      </w:r>
      <w:r w:rsidRPr="001026A7">
        <w:rPr>
          <w:rFonts w:asciiTheme="majorHAnsi" w:eastAsiaTheme="minorEastAsia" w:hAnsiTheme="majorHAnsi"/>
        </w:rPr>
        <w:t>The source gNB also generates</w:t>
      </w:r>
      <w:r w:rsidR="009A6803">
        <w:rPr>
          <w:rFonts w:asciiTheme="majorHAnsi" w:eastAsiaTheme="minorEastAsia" w:hAnsiTheme="majorHAnsi"/>
        </w:rPr>
        <w:t xml:space="preserve"> and provides</w:t>
      </w:r>
      <w:r w:rsidRPr="001026A7">
        <w:rPr>
          <w:rFonts w:asciiTheme="majorHAnsi" w:eastAsiaTheme="minorEastAsia" w:hAnsiTheme="majorHAnsi"/>
        </w:rPr>
        <w:t xml:space="preserve"> 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xml:space="preserve">. The LTE RRC QoE configuration is encoded in LTE RRC ASN.1 format. </w:t>
      </w:r>
    </w:p>
    <w:p w14:paraId="7118589F" w14:textId="77777777"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When receives the QoE measurement configuration, </w:t>
      </w:r>
      <w:r w:rsidRPr="001026A7">
        <w:rPr>
          <w:rFonts w:asciiTheme="majorHAnsi" w:eastAsiaTheme="minorEastAsia" w:hAnsiTheme="majorHAnsi"/>
        </w:rPr>
        <w:t>the target eNB generates or updates the LTE RR</w:t>
      </w:r>
      <w:r w:rsidRPr="001026A7">
        <w:rPr>
          <w:rFonts w:asciiTheme="majorHAnsi" w:eastAsiaTheme="minorEastAsia" w:hAnsiTheme="majorHAnsi" w:hint="eastAsia"/>
        </w:rPr>
        <w:t>C</w:t>
      </w:r>
      <w:r w:rsidRPr="001026A7">
        <w:rPr>
          <w:rFonts w:asciiTheme="majorHAnsi" w:eastAsiaTheme="minorEastAsia" w:hAnsiTheme="majorHAnsi"/>
        </w:rPr>
        <w:t xml:space="preserve"> QoE configuration and send it to the source gNB in the Handover Response message, and source gNB forwards it to the UE in the </w:t>
      </w:r>
      <w:r w:rsidRPr="001026A7">
        <w:rPr>
          <w:rFonts w:asciiTheme="majorHAnsi" w:eastAsiaTheme="minorEastAsia" w:hAnsiTheme="majorHAnsi"/>
          <w:i/>
          <w:iCs/>
        </w:rPr>
        <w:t>MobilityFromNRCommand</w:t>
      </w:r>
      <w:r w:rsidRPr="001026A7">
        <w:rPr>
          <w:rFonts w:asciiTheme="majorHAnsi" w:eastAsiaTheme="minorEastAsia" w:hAnsiTheme="majorHAnsi"/>
        </w:rPr>
        <w:t xml:space="preserve"> message</w:t>
      </w:r>
      <w:r w:rsidRPr="001026A7">
        <w:rPr>
          <w:rFonts w:asciiTheme="majorHAnsi" w:eastAsiaTheme="minorEastAsia" w:hAnsiTheme="majorHAnsi"/>
          <w:b w:val="0"/>
          <w:bCs w:val="0"/>
        </w:rPr>
        <w:t>. In the LTE RRC QoE configuration, only service type = streaming is provided without any measConfigAppLayerId.</w:t>
      </w:r>
    </w:p>
    <w:p w14:paraId="33DE112B" w14:textId="5AF7D814"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rPr>
        <w:t xml:space="preserve">When UE receives the LTE QoE configuration in the MobilityFromNRCommand message, the UE continues the QoE measurement with provided ‘IRAT continuity indication’ of the service type (which is provided in the step 2) and release the other QoE configurations of the service type. </w:t>
      </w:r>
      <w:r w:rsidRPr="001026A7">
        <w:rPr>
          <w:rFonts w:asciiTheme="majorHAnsi" w:eastAsiaTheme="minorEastAsia" w:hAnsiTheme="majorHAnsi"/>
          <w:b w:val="0"/>
          <w:bCs w:val="0"/>
        </w:rPr>
        <w:t xml:space="preserve">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UE keeps and continues the QoE measurement with measConfigAppLayerId = 1. </w:t>
      </w:r>
    </w:p>
    <w:p w14:paraId="1696538B" w14:textId="1CBCEA21" w:rsidR="001026A7" w:rsidRDefault="009A6803"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The solution has no impact on LTE specification.</w:t>
      </w:r>
    </w:p>
    <w:p w14:paraId="5193FD96" w14:textId="3940C0EE" w:rsidR="009A6803" w:rsidRPr="009A6803" w:rsidRDefault="009A6803">
      <w:pPr>
        <w:pStyle w:val="Proposal"/>
        <w:spacing w:before="60" w:after="60"/>
        <w:jc w:val="left"/>
        <w:rPr>
          <w:rFonts w:asciiTheme="majorHAnsi" w:eastAsiaTheme="minorEastAsia" w:hAnsiTheme="majorHAnsi"/>
        </w:rPr>
      </w:pPr>
      <w:r w:rsidRPr="009A6803">
        <w:rPr>
          <w:rFonts w:asciiTheme="majorHAnsi" w:eastAsiaTheme="minorEastAsia" w:hAnsiTheme="majorHAnsi"/>
        </w:rPr>
        <w:t>To support QoE measurement continuity for HO from NR to LTE/5GC without LTE spec impact:</w:t>
      </w:r>
    </w:p>
    <w:p w14:paraId="043633BF" w14:textId="5028DEC4"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w:t>
      </w:r>
      <w:proofErr w:type="gramStart"/>
      <w:r w:rsidRPr="001026A7">
        <w:rPr>
          <w:rFonts w:asciiTheme="majorHAnsi" w:eastAsiaTheme="minorEastAsia" w:hAnsiTheme="majorHAnsi"/>
        </w:rPr>
        <w:t>eNB</w:t>
      </w:r>
      <w:r>
        <w:rPr>
          <w:rFonts w:asciiTheme="majorHAnsi" w:eastAsiaTheme="minorEastAsia" w:hAnsiTheme="majorHAnsi"/>
        </w:rPr>
        <w:t>;</w:t>
      </w:r>
      <w:proofErr w:type="gramEnd"/>
      <w:r>
        <w:rPr>
          <w:rFonts w:asciiTheme="majorHAnsi" w:eastAsiaTheme="minorEastAsia" w:hAnsiTheme="majorHAnsi"/>
        </w:rPr>
        <w:t xml:space="preserve"> </w:t>
      </w:r>
    </w:p>
    <w:p w14:paraId="0443E817" w14:textId="36EF8CDA"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For the QoE measurement, the gNB provides the inter-RAT QoE continuity indication to the UE as received from OAM system or CN.</w:t>
      </w:r>
    </w:p>
    <w:p w14:paraId="68CF99D8" w14:textId="324FB2DE"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The LTE RRC QoE configuration is encoded in LTE RRC ASN.1 format.</w:t>
      </w:r>
    </w:p>
    <w:p w14:paraId="01300AE1" w14:textId="322B4454" w:rsidR="009A6803" w:rsidRPr="00A3006A"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When UE receives the LTE QoE configuration in the </w:t>
      </w:r>
      <w:r w:rsidRPr="009A6803">
        <w:rPr>
          <w:rFonts w:asciiTheme="majorHAnsi" w:eastAsiaTheme="minorEastAsia" w:hAnsiTheme="majorHAnsi"/>
          <w:i/>
          <w:iCs/>
        </w:rPr>
        <w:t>MobilityFromNRCommand</w:t>
      </w:r>
      <w:r w:rsidRPr="001026A7">
        <w:rPr>
          <w:rFonts w:asciiTheme="majorHAnsi" w:eastAsiaTheme="minorEastAsia" w:hAnsiTheme="majorHAnsi"/>
        </w:rPr>
        <w:t xml:space="preserve"> message, the UE continues the QoE measurement with </w:t>
      </w:r>
      <w:r w:rsidRPr="001026A7">
        <w:rPr>
          <w:rFonts w:asciiTheme="majorHAnsi" w:eastAsiaTheme="minorEastAsia" w:hAnsiTheme="majorHAnsi"/>
        </w:rPr>
        <w:lastRenderedPageBreak/>
        <w:t>provided ‘IRAT continuity indication’ of the service type and release the other QoE configurations of the service type</w:t>
      </w:r>
      <w:r>
        <w:rPr>
          <w:rFonts w:asciiTheme="majorHAnsi" w:eastAsiaTheme="minorEastAsia" w:hAnsiTheme="majorHAnsi"/>
        </w:rPr>
        <w:t>.</w:t>
      </w:r>
    </w:p>
    <w:p w14:paraId="0C832C26" w14:textId="25412699" w:rsidR="00827B78" w:rsidRDefault="00827B78" w:rsidP="00827B78">
      <w:pPr>
        <w:pStyle w:val="Proposal"/>
        <w:numPr>
          <w:ilvl w:val="0"/>
          <w:numId w:val="0"/>
        </w:numPr>
        <w:ind w:left="1304" w:hanging="1304"/>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LTE/5GC</w:t>
      </w:r>
      <w:r>
        <w:rPr>
          <w:rFonts w:asciiTheme="majorHAnsi" w:eastAsiaTheme="minorEastAsia" w:hAnsiTheme="majorHAnsi"/>
          <w:u w:val="single"/>
        </w:rPr>
        <w:t xml:space="preserve"> to NR</w:t>
      </w:r>
    </w:p>
    <w:p w14:paraId="6618EDCB"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For a same service type (e.g., service type = streaming), the OAM system or CN provides one QoE measurements configuration of the service type to the ng-eNB. </w:t>
      </w:r>
    </w:p>
    <w:p w14:paraId="511E779F" w14:textId="2C1DA02E" w:rsidR="009A6803" w:rsidRDefault="006E6CA5" w:rsidP="00AF6828">
      <w:pPr>
        <w:pStyle w:val="Proposal"/>
        <w:numPr>
          <w:ilvl w:val="0"/>
          <w:numId w:val="0"/>
        </w:numPr>
        <w:spacing w:before="60" w:after="60"/>
        <w:ind w:left="1304" w:hanging="1304"/>
        <w:jc w:val="center"/>
        <w:rPr>
          <w:rFonts w:eastAsiaTheme="minorEastAsia"/>
          <w:lang w:val="en-US"/>
        </w:rPr>
      </w:pPr>
      <w:r>
        <w:object w:dxaOrig="10361" w:dyaOrig="7980" w14:anchorId="48A37166">
          <v:shape id="_x0000_i1026" type="#_x0000_t75" style="width:396pt;height:304.5pt" o:ole="">
            <v:imagedata r:id="rId13" o:title=""/>
          </v:shape>
          <o:OLEObject Type="Embed" ProgID="Visio.Drawing.15" ShapeID="_x0000_i1026" DrawAspect="Content" ObjectID="_1753249066" r:id="rId14"/>
        </w:object>
      </w:r>
      <w:r w:rsidRPr="00341E79" w:rsidDel="006E6CA5">
        <w:rPr>
          <w:rFonts w:eastAsiaTheme="minorEastAsia"/>
          <w:lang w:val="en-US"/>
        </w:rPr>
        <w:t xml:space="preserve"> </w:t>
      </w:r>
    </w:p>
    <w:p w14:paraId="451512D3" w14:textId="732531E3" w:rsidR="00323242" w:rsidRPr="00044FA3" w:rsidRDefault="00323242" w:rsidP="00323242">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w:t>
      </w:r>
      <w:r>
        <w:rPr>
          <w:rFonts w:asciiTheme="majorHAnsi" w:eastAsiaTheme="minorEastAsia" w:hAnsiTheme="majorHAnsi"/>
        </w:rPr>
        <w:t>2</w:t>
      </w:r>
      <w:r w:rsidRPr="00044FA3">
        <w:rPr>
          <w:rFonts w:asciiTheme="majorHAnsi" w:eastAsiaTheme="minorEastAsia" w:hAnsiTheme="majorHAnsi"/>
        </w:rPr>
        <w:t xml:space="preserve">. Procedures of </w:t>
      </w:r>
      <w:r w:rsidRPr="009A6803">
        <w:rPr>
          <w:rFonts w:asciiTheme="majorHAnsi" w:eastAsiaTheme="minorEastAsia" w:hAnsiTheme="majorHAnsi"/>
        </w:rPr>
        <w:t xml:space="preserve">QoE measurement continuity for HO from LTE/5GC </w:t>
      </w:r>
      <w:r>
        <w:rPr>
          <w:rFonts w:asciiTheme="majorHAnsi" w:eastAsiaTheme="minorEastAsia" w:hAnsiTheme="majorHAnsi"/>
        </w:rPr>
        <w:t>to NR</w:t>
      </w:r>
    </w:p>
    <w:p w14:paraId="18E4DA67" w14:textId="0796BDA9"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hint="eastAsia"/>
          <w:b w:val="0"/>
          <w:bCs w:val="0"/>
        </w:rPr>
        <w:t>T</w:t>
      </w:r>
      <w:r w:rsidRPr="007070BA">
        <w:rPr>
          <w:rFonts w:asciiTheme="majorHAnsi" w:eastAsiaTheme="minorEastAsia" w:hAnsiTheme="majorHAnsi"/>
          <w:b w:val="0"/>
          <w:bCs w:val="0"/>
        </w:rPr>
        <w:t>he ng-eNB provides UE an application layer configuration (</w:t>
      </w:r>
      <w:proofErr w:type="gramStart"/>
      <w:r w:rsidRPr="007070BA">
        <w:rPr>
          <w:rFonts w:asciiTheme="majorHAnsi" w:eastAsiaTheme="minorEastAsia" w:hAnsiTheme="majorHAnsi"/>
          <w:b w:val="0"/>
          <w:bCs w:val="0"/>
        </w:rPr>
        <w:t>i.e.</w:t>
      </w:r>
      <w:proofErr w:type="gramEnd"/>
      <w:r w:rsidRPr="007070BA">
        <w:rPr>
          <w:rFonts w:asciiTheme="majorHAnsi" w:eastAsiaTheme="minorEastAsia" w:hAnsiTheme="majorHAnsi"/>
          <w:b w:val="0"/>
          <w:bCs w:val="0"/>
        </w:rPr>
        <w:t xml:space="preserve"> </w:t>
      </w:r>
      <w:r w:rsidR="00026818">
        <w:rPr>
          <w:rFonts w:asciiTheme="majorHAnsi" w:eastAsiaTheme="minorEastAsia" w:hAnsiTheme="majorHAnsi"/>
          <w:b w:val="0"/>
          <w:bCs w:val="0"/>
        </w:rPr>
        <w:t xml:space="preserve">measConfigAppLayer </w:t>
      </w:r>
      <w:r w:rsidRPr="007070BA">
        <w:rPr>
          <w:rFonts w:asciiTheme="majorHAnsi" w:eastAsiaTheme="minorEastAsia" w:hAnsiTheme="majorHAnsi"/>
          <w:b w:val="0"/>
          <w:bCs w:val="0"/>
        </w:rPr>
        <w:t>IE) in the RRC</w:t>
      </w:r>
      <w:r w:rsidR="006C2A3D">
        <w:rPr>
          <w:rFonts w:asciiTheme="majorHAnsi" w:eastAsiaTheme="minorEastAsia" w:hAnsiTheme="majorHAnsi"/>
          <w:b w:val="0"/>
          <w:bCs w:val="0"/>
        </w:rPr>
        <w:t>Connection</w:t>
      </w:r>
      <w:r w:rsidRPr="007070BA">
        <w:rPr>
          <w:rFonts w:asciiTheme="majorHAnsi" w:eastAsiaTheme="minorEastAsia" w:hAnsiTheme="majorHAnsi"/>
          <w:b w:val="0"/>
          <w:bCs w:val="0"/>
        </w:rPr>
        <w:t xml:space="preserve">Reconfiguration message and corresponding service type is indicated to the UE. </w:t>
      </w:r>
    </w:p>
    <w:p w14:paraId="1E9B605C" w14:textId="3CF6B1AB"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The ng-eNB decides to perform </w:t>
      </w:r>
      <w:r w:rsidR="00A95EC5">
        <w:rPr>
          <w:rFonts w:asciiTheme="majorHAnsi" w:eastAsiaTheme="minorEastAsia" w:hAnsiTheme="majorHAnsi"/>
          <w:b w:val="0"/>
          <w:bCs w:val="0"/>
        </w:rPr>
        <w:t>intra</w:t>
      </w:r>
      <w:r w:rsidRPr="007070BA">
        <w:rPr>
          <w:rFonts w:asciiTheme="majorHAnsi" w:eastAsiaTheme="minorEastAsia" w:hAnsiTheme="majorHAnsi"/>
          <w:b w:val="0"/>
          <w:bCs w:val="0"/>
        </w:rPr>
        <w:t xml:space="preserve">-system inter-RAT handover to the target gNB.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NB provides QoE Configurations to the target gNB, e.g., provides the UE Application Layer Measurement Information IE of the QMC Configuration Information IE in XnAP Handover Request message. The source ng-eNB also provides an indication that whether the QoE measurement is already configured to UE in LTE</w:t>
      </w:r>
      <w:r w:rsidRPr="007070BA">
        <w:rPr>
          <w:rFonts w:asciiTheme="majorHAnsi" w:eastAsiaTheme="minorEastAsia" w:hAnsiTheme="majorHAnsi"/>
          <w:b w:val="0"/>
          <w:bCs w:val="0"/>
        </w:rPr>
        <w:t>.</w:t>
      </w:r>
    </w:p>
    <w:p w14:paraId="49CC7313" w14:textId="3C57335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When receives the QoE measurement configurations, the target gNB identifies the QoE measurement is already configured to UE in</w:t>
      </w:r>
      <w:r>
        <w:rPr>
          <w:rFonts w:asciiTheme="majorHAnsi" w:eastAsiaTheme="minorEastAsia" w:hAnsiTheme="majorHAnsi"/>
          <w:b w:val="0"/>
          <w:bCs w:val="0"/>
        </w:rPr>
        <w:t xml:space="preserve"> </w:t>
      </w:r>
      <w:r w:rsidRPr="007070BA">
        <w:rPr>
          <w:rFonts w:asciiTheme="majorHAnsi" w:eastAsiaTheme="minorEastAsia" w:hAnsiTheme="majorHAnsi"/>
          <w:b w:val="0"/>
          <w:bCs w:val="0"/>
        </w:rPr>
        <w:t>LTE.</w:t>
      </w:r>
      <w:r w:rsidRPr="008720B9">
        <w:rPr>
          <w:rFonts w:asciiTheme="majorHAnsi" w:eastAsiaTheme="minorEastAsia" w:hAnsiTheme="majorHAnsi"/>
        </w:rPr>
        <w:t xml:space="preserve"> The gNB allocates a measConfigAppLayerID to the on-going QoE </w:t>
      </w:r>
      <w:proofErr w:type="gramStart"/>
      <w:r w:rsidRPr="008720B9">
        <w:rPr>
          <w:rFonts w:asciiTheme="majorHAnsi" w:eastAsiaTheme="minorEastAsia" w:hAnsiTheme="majorHAnsi"/>
        </w:rPr>
        <w:t>measurement, and</w:t>
      </w:r>
      <w:proofErr w:type="gramEnd"/>
      <w:r w:rsidRPr="008720B9">
        <w:rPr>
          <w:rFonts w:asciiTheme="majorHAnsi" w:eastAsiaTheme="minorEastAsia" w:hAnsiTheme="majorHAnsi"/>
        </w:rPr>
        <w:t xml:space="preserve"> sends an on-going QoE measurement association information in handover command, to indicate that UE associates the on-going QoE measurement.</w:t>
      </w:r>
      <w:r w:rsidRPr="007070BA">
        <w:rPr>
          <w:rFonts w:asciiTheme="majorHAnsi" w:eastAsiaTheme="minorEastAsia" w:hAnsiTheme="majorHAnsi"/>
          <w:b w:val="0"/>
          <w:bCs w:val="0"/>
        </w:rPr>
        <w:t xml:space="preserve"> The on-going QoE measurement association information may be </w:t>
      </w:r>
      <w:r w:rsidR="00E31A9D" w:rsidRPr="007070BA">
        <w:rPr>
          <w:rFonts w:asciiTheme="majorHAnsi" w:eastAsiaTheme="minorEastAsia" w:hAnsiTheme="majorHAnsi"/>
          <w:b w:val="0"/>
          <w:bCs w:val="0"/>
        </w:rPr>
        <w:t>implic</w:t>
      </w:r>
      <w:r w:rsidR="00E31A9D">
        <w:rPr>
          <w:rFonts w:asciiTheme="majorHAnsi" w:eastAsiaTheme="minorEastAsia" w:hAnsiTheme="majorHAnsi"/>
          <w:b w:val="0"/>
          <w:bCs w:val="0"/>
        </w:rPr>
        <w:t>i</w:t>
      </w:r>
      <w:r w:rsidR="00E31A9D" w:rsidRPr="007070BA">
        <w:rPr>
          <w:rFonts w:asciiTheme="majorHAnsi" w:eastAsiaTheme="minorEastAsia" w:hAnsiTheme="majorHAnsi"/>
          <w:b w:val="0"/>
          <w:bCs w:val="0"/>
        </w:rPr>
        <w:t>t</w:t>
      </w:r>
      <w:r w:rsidR="00E31A9D">
        <w:rPr>
          <w:rFonts w:asciiTheme="majorHAnsi" w:eastAsiaTheme="minorEastAsia" w:hAnsiTheme="majorHAnsi"/>
          <w:b w:val="0"/>
          <w:bCs w:val="0"/>
        </w:rPr>
        <w:t>ly</w:t>
      </w:r>
      <w:r w:rsidR="00E31A9D" w:rsidRPr="007070BA">
        <w:rPr>
          <w:rFonts w:asciiTheme="majorHAnsi" w:eastAsiaTheme="minorEastAsia" w:hAnsiTheme="majorHAnsi"/>
          <w:b w:val="0"/>
          <w:bCs w:val="0"/>
        </w:rPr>
        <w:t xml:space="preserve"> </w:t>
      </w:r>
      <w:r w:rsidRPr="007070BA">
        <w:rPr>
          <w:rFonts w:asciiTheme="majorHAnsi" w:eastAsiaTheme="minorEastAsia" w:hAnsiTheme="majorHAnsi"/>
          <w:b w:val="0"/>
          <w:bCs w:val="0"/>
        </w:rPr>
        <w:t xml:space="preserve">indicated by including the measConfigAppLayerID of the service type. </w:t>
      </w:r>
    </w:p>
    <w:p w14:paraId="43678EF2"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When UE receives the NR QoE configuration including the on-going QoE measurement association information and measConfigAppLayerID, </w:t>
      </w:r>
      <w:r w:rsidRPr="008720B9">
        <w:rPr>
          <w:rFonts w:asciiTheme="majorHAnsi" w:eastAsiaTheme="minorEastAsia" w:hAnsiTheme="majorHAnsi"/>
        </w:rPr>
        <w:t>the UE associates the on-going QoE measurement with the allocated measConfigLayerId and continue the QoE measurement after the inter-RAT handover</w:t>
      </w:r>
      <w:r w:rsidRPr="007070BA">
        <w:rPr>
          <w:rFonts w:asciiTheme="majorHAnsi" w:eastAsiaTheme="minorEastAsia" w:hAnsiTheme="majorHAnsi"/>
          <w:b w:val="0"/>
          <w:bCs w:val="0"/>
        </w:rPr>
        <w:t>.</w:t>
      </w:r>
    </w:p>
    <w:p w14:paraId="39C30780" w14:textId="6496ADB3" w:rsidR="008720B9" w:rsidRPr="009A6803" w:rsidRDefault="008720B9">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QoE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76E84A98" w14:textId="2AEFCA7B" w:rsidR="008720B9" w:rsidRPr="008720B9" w:rsidRDefault="008720B9">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 xml:space="preserve">NB provides QoE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XnAP Handover Request message. The source ng-eNB also provides an indication that whether the QoE measurement is already configured to UE in LTE.</w:t>
      </w:r>
    </w:p>
    <w:p w14:paraId="47B0D156" w14:textId="785967D2" w:rsidR="008720B9" w:rsidRPr="008720B9" w:rsidRDefault="008720B9">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 xml:space="preserve">[Impact on TS 38.331] The gNB allocates a measConfigAppLayerID to the on-going QoE measurement and sends an on-going QoE measurement association information in </w:t>
      </w:r>
      <w:r w:rsidR="00A3006A">
        <w:rPr>
          <w:rFonts w:asciiTheme="majorHAnsi" w:eastAsiaTheme="minorEastAsia" w:hAnsiTheme="majorHAnsi"/>
        </w:rPr>
        <w:t xml:space="preserve">RRC </w:t>
      </w:r>
      <w:r w:rsidRPr="008720B9">
        <w:rPr>
          <w:rFonts w:asciiTheme="majorHAnsi" w:eastAsiaTheme="minorEastAsia" w:hAnsiTheme="majorHAnsi"/>
        </w:rPr>
        <w:t>handover command, to indicate that UE associates the on-going QoE measurement.</w:t>
      </w:r>
    </w:p>
    <w:p w14:paraId="081D1EDE" w14:textId="6462CFA3" w:rsidR="008720B9" w:rsidRPr="00A3006A" w:rsidRDefault="008720B9">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lastRenderedPageBreak/>
        <w:t>[Impact on TS 38.331] T</w:t>
      </w:r>
      <w:r w:rsidRPr="008720B9">
        <w:rPr>
          <w:rFonts w:asciiTheme="majorHAnsi" w:eastAsiaTheme="minorEastAsia" w:hAnsiTheme="majorHAnsi"/>
        </w:rPr>
        <w:t>he UE associates the on-going QoE measurement with the allocated measConfigLayerId and continue the QoE measurement after the inter-RAT handover</w:t>
      </w:r>
      <w:r>
        <w:rPr>
          <w:rFonts w:asciiTheme="majorHAnsi" w:eastAsiaTheme="minorEastAsia" w:hAnsiTheme="majorHAnsi"/>
        </w:rPr>
        <w:t>.</w:t>
      </w:r>
    </w:p>
    <w:p w14:paraId="3DC48FA2" w14:textId="18C2921D" w:rsidR="00A3006A" w:rsidRPr="00A3006A" w:rsidRDefault="00A3006A" w:rsidP="00A3006A">
      <w:pPr>
        <w:pStyle w:val="Proposal"/>
        <w:spacing w:before="60" w:after="60"/>
        <w:jc w:val="left"/>
        <w:rPr>
          <w:rFonts w:asciiTheme="majorHAnsi" w:eastAsiaTheme="minorEastAsia" w:hAnsiTheme="majorHAnsi"/>
        </w:rPr>
      </w:pPr>
      <w:r w:rsidRPr="00A3006A">
        <w:rPr>
          <w:rFonts w:asciiTheme="majorHAnsi" w:eastAsiaTheme="minorEastAsia" w:hAnsiTheme="majorHAnsi" w:hint="eastAsia"/>
        </w:rPr>
        <w:t>R</w:t>
      </w:r>
      <w:r w:rsidRPr="00A3006A">
        <w:rPr>
          <w:rFonts w:asciiTheme="majorHAnsi" w:eastAsiaTheme="minorEastAsia" w:hAnsiTheme="majorHAnsi"/>
        </w:rPr>
        <w:t xml:space="preserve">AN3 responds a LS to capture the potential </w:t>
      </w:r>
      <w:r>
        <w:rPr>
          <w:rFonts w:asciiTheme="majorHAnsi" w:eastAsiaTheme="minorEastAsia" w:hAnsiTheme="majorHAnsi"/>
        </w:rPr>
        <w:t xml:space="preserve">NR </w:t>
      </w:r>
      <w:r w:rsidRPr="00A3006A">
        <w:rPr>
          <w:rFonts w:asciiTheme="majorHAnsi" w:eastAsiaTheme="minorEastAsia" w:hAnsiTheme="majorHAnsi"/>
        </w:rPr>
        <w:t xml:space="preserve">RRC impacts to support QoE measurement continuity for </w:t>
      </w:r>
      <w:r w:rsidR="00D93CA4" w:rsidRPr="009A6803">
        <w:rPr>
          <w:rFonts w:asciiTheme="majorHAnsi" w:eastAsiaTheme="minorEastAsia" w:hAnsiTheme="majorHAnsi"/>
        </w:rPr>
        <w:t>HO from NR to LTE/5</w:t>
      </w:r>
      <w:r w:rsidR="00BC249C" w:rsidRPr="009A6803">
        <w:rPr>
          <w:rFonts w:asciiTheme="majorHAnsi" w:eastAsiaTheme="minorEastAsia" w:hAnsiTheme="majorHAnsi"/>
        </w:rPr>
        <w:t>GC</w:t>
      </w:r>
      <w:r w:rsidR="00BC249C" w:rsidRPr="00A3006A">
        <w:rPr>
          <w:rFonts w:asciiTheme="majorHAnsi" w:eastAsiaTheme="minorEastAsia" w:hAnsiTheme="majorHAnsi"/>
        </w:rPr>
        <w:t xml:space="preserve"> </w:t>
      </w:r>
      <w:r w:rsidR="00BC249C">
        <w:rPr>
          <w:rFonts w:asciiTheme="majorHAnsi" w:eastAsiaTheme="minorEastAsia" w:hAnsiTheme="majorHAnsi"/>
        </w:rPr>
        <w:t>and</w:t>
      </w:r>
      <w:r w:rsidR="00D93CA4">
        <w:rPr>
          <w:rFonts w:asciiTheme="majorHAnsi" w:eastAsiaTheme="minorEastAsia" w:hAnsiTheme="majorHAnsi"/>
        </w:rPr>
        <w:t xml:space="preserve"> </w:t>
      </w:r>
      <w:r w:rsidRPr="00A3006A">
        <w:rPr>
          <w:rFonts w:asciiTheme="majorHAnsi" w:eastAsiaTheme="minorEastAsia" w:hAnsiTheme="majorHAnsi"/>
        </w:rPr>
        <w:t>HO from LTE/5GC to NR</w:t>
      </w:r>
      <w:r w:rsidR="007402CC">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2844532A" w14:textId="3845F217" w:rsidR="00595125" w:rsidRDefault="00595125" w:rsidP="00BA71E1">
      <w:pPr>
        <w:spacing w:afterLines="50" w:after="120"/>
        <w:jc w:val="both"/>
        <w:rPr>
          <w:rFonts w:asciiTheme="majorHAnsi" w:eastAsiaTheme="minorEastAsia" w:hAnsiTheme="majorHAnsi" w:cs="Arial"/>
          <w:lang w:eastAsia="zh-CN"/>
        </w:rPr>
      </w:pPr>
      <w:r w:rsidRPr="00595125">
        <w:rPr>
          <w:rFonts w:asciiTheme="majorHAnsi" w:eastAsiaTheme="minorEastAsia" w:hAnsiTheme="majorHAnsi" w:cs="Arial"/>
          <w:lang w:eastAsia="zh-CN"/>
        </w:rPr>
        <w:t>This paper discusses the continuity of legacy QoE measurement job for streaming and MTSI service during intra-5GC inter-RAT handover process</w:t>
      </w:r>
      <w:r>
        <w:rPr>
          <w:rFonts w:asciiTheme="majorHAnsi" w:eastAsiaTheme="minorEastAsia" w:hAnsiTheme="majorHAnsi" w:cs="Arial"/>
          <w:lang w:eastAsia="zh-CN"/>
        </w:rPr>
        <w:t xml:space="preserve"> with the following proposal</w:t>
      </w:r>
      <w:r w:rsidR="00806FF9">
        <w:rPr>
          <w:rFonts w:asciiTheme="majorHAnsi" w:eastAsiaTheme="minorEastAsia" w:hAnsiTheme="majorHAnsi" w:cs="Arial"/>
          <w:lang w:eastAsia="zh-CN"/>
        </w:rPr>
        <w:t>s</w:t>
      </w:r>
      <w:r>
        <w:rPr>
          <w:rFonts w:asciiTheme="majorHAnsi" w:eastAsiaTheme="minorEastAsia" w:hAnsiTheme="majorHAnsi" w:cs="Arial"/>
          <w:lang w:eastAsia="zh-CN"/>
        </w:rPr>
        <w:t>.</w:t>
      </w:r>
    </w:p>
    <w:p w14:paraId="0598D8C0" w14:textId="77777777" w:rsidR="00C32FB2" w:rsidRPr="00491681" w:rsidRDefault="00C32FB2">
      <w:pPr>
        <w:pStyle w:val="Proposal"/>
        <w:numPr>
          <w:ilvl w:val="0"/>
          <w:numId w:val="13"/>
        </w:numPr>
        <w:spacing w:before="60" w:after="60"/>
        <w:jc w:val="left"/>
        <w:rPr>
          <w:rFonts w:asciiTheme="majorHAnsi" w:eastAsiaTheme="minorEastAsia" w:hAnsiTheme="majorHAnsi"/>
        </w:rPr>
      </w:pPr>
      <w:r w:rsidRPr="00491681">
        <w:rPr>
          <w:rFonts w:asciiTheme="majorHAnsi" w:eastAsiaTheme="minorEastAsia" w:hAnsiTheme="majorHAnsi"/>
        </w:rPr>
        <w:t>To support QoE measurement continuity for HO from NR to LTE/5GC without LTE spec impact:</w:t>
      </w:r>
    </w:p>
    <w:p w14:paraId="53C0035C"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w:t>
      </w:r>
      <w:proofErr w:type="gramStart"/>
      <w:r w:rsidRPr="001026A7">
        <w:rPr>
          <w:rFonts w:asciiTheme="majorHAnsi" w:eastAsiaTheme="minorEastAsia" w:hAnsiTheme="majorHAnsi"/>
        </w:rPr>
        <w:t>eNB</w:t>
      </w:r>
      <w:r>
        <w:rPr>
          <w:rFonts w:asciiTheme="majorHAnsi" w:eastAsiaTheme="minorEastAsia" w:hAnsiTheme="majorHAnsi"/>
        </w:rPr>
        <w:t>;</w:t>
      </w:r>
      <w:proofErr w:type="gramEnd"/>
      <w:r>
        <w:rPr>
          <w:rFonts w:asciiTheme="majorHAnsi" w:eastAsiaTheme="minorEastAsia" w:hAnsiTheme="majorHAnsi"/>
        </w:rPr>
        <w:t xml:space="preserve"> </w:t>
      </w:r>
    </w:p>
    <w:p w14:paraId="084DB073"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For the QoE measurement, the gNB provides the inter-RAT QoE continuity indication to the UE as received from OAM system or CN.</w:t>
      </w:r>
    </w:p>
    <w:p w14:paraId="2776DEF5" w14:textId="18F0CD9D"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The LTE RRC QoE configuration is encoded in LTE RRC ASN.1 format.</w:t>
      </w:r>
    </w:p>
    <w:p w14:paraId="165412CE"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When UE receives the LTE QoE configuration in the </w:t>
      </w:r>
      <w:r w:rsidRPr="009A6803">
        <w:rPr>
          <w:rFonts w:asciiTheme="majorHAnsi" w:eastAsiaTheme="minorEastAsia" w:hAnsiTheme="majorHAnsi"/>
          <w:i/>
          <w:iCs/>
        </w:rPr>
        <w:t>MobilityFromNRCommand</w:t>
      </w:r>
      <w:r w:rsidRPr="001026A7">
        <w:rPr>
          <w:rFonts w:asciiTheme="majorHAnsi" w:eastAsiaTheme="minorEastAsia" w:hAnsiTheme="majorHAnsi"/>
        </w:rPr>
        <w:t xml:space="preserve"> message, the UE continues the QoE measurement with provided ‘IRAT continuity indication’ of the service type and release the other QoE configurations of the service type</w:t>
      </w:r>
      <w:r>
        <w:rPr>
          <w:rFonts w:asciiTheme="majorHAnsi" w:eastAsiaTheme="minorEastAsia" w:hAnsiTheme="majorHAnsi"/>
        </w:rPr>
        <w:t>.</w:t>
      </w:r>
    </w:p>
    <w:p w14:paraId="2DA548F4" w14:textId="21D3B896" w:rsidR="00491681" w:rsidRPr="009A6803" w:rsidRDefault="00491681">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QoE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38EC8CC9" w14:textId="66D37B66" w:rsidR="00491681" w:rsidRPr="008720B9" w:rsidRDefault="00491681">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 xml:space="preserve">NB provides QoE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XnAP Handover Request message. The source ng-eNB also provides an indication that whether the QoE measurement is already configured to UE in LTE.</w:t>
      </w:r>
    </w:p>
    <w:p w14:paraId="65E1D42F" w14:textId="061A3B81" w:rsidR="00491681" w:rsidRPr="008720B9" w:rsidRDefault="00491681">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[Impact on TS 38.331] The gNB allocates a measConfigAppLayerID to the on-going QoE measurement and sends an on-going QoE measurement association information in handover command, to indicate that UE associates the on-going QoE measurement.</w:t>
      </w:r>
    </w:p>
    <w:p w14:paraId="4B7293B1" w14:textId="42FDB997" w:rsidR="00C32FB2" w:rsidRDefault="00491681">
      <w:pPr>
        <w:pStyle w:val="Proposal"/>
        <w:numPr>
          <w:ilvl w:val="0"/>
          <w:numId w:val="11"/>
        </w:numPr>
        <w:spacing w:before="60" w:after="60"/>
        <w:jc w:val="left"/>
        <w:rPr>
          <w:rFonts w:asciiTheme="majorHAnsi" w:eastAsiaTheme="minorEastAsia" w:hAnsiTheme="majorHAnsi"/>
        </w:rPr>
      </w:pPr>
      <w:r w:rsidRPr="00491681">
        <w:rPr>
          <w:rFonts w:asciiTheme="majorHAnsi" w:eastAsiaTheme="minorEastAsia" w:hAnsiTheme="majorHAnsi"/>
        </w:rPr>
        <w:t>[Impact on TS 38.331] The UE associates the on-going QoE measurement with the allocated measConfigLayerId and continue the QoE measurement after the inter-RAT handover.</w:t>
      </w:r>
    </w:p>
    <w:p w14:paraId="1AC5B29F" w14:textId="7D692F3C" w:rsidR="007402CC" w:rsidRDefault="007402CC" w:rsidP="007402CC">
      <w:pPr>
        <w:pStyle w:val="Proposal"/>
        <w:spacing w:before="60" w:after="60"/>
        <w:jc w:val="left"/>
        <w:rPr>
          <w:rFonts w:asciiTheme="majorHAnsi" w:eastAsiaTheme="minorEastAsia" w:hAnsiTheme="majorHAnsi"/>
        </w:rPr>
      </w:pPr>
      <w:r w:rsidRPr="00A3006A">
        <w:rPr>
          <w:rFonts w:asciiTheme="majorHAnsi" w:eastAsiaTheme="minorEastAsia" w:hAnsiTheme="majorHAnsi" w:hint="eastAsia"/>
        </w:rPr>
        <w:t>R</w:t>
      </w:r>
      <w:r w:rsidRPr="00A3006A">
        <w:rPr>
          <w:rFonts w:asciiTheme="majorHAnsi" w:eastAsiaTheme="minorEastAsia" w:hAnsiTheme="majorHAnsi"/>
        </w:rPr>
        <w:t xml:space="preserve">AN3 responds a LS to capture the potential </w:t>
      </w:r>
      <w:r>
        <w:rPr>
          <w:rFonts w:asciiTheme="majorHAnsi" w:eastAsiaTheme="minorEastAsia" w:hAnsiTheme="majorHAnsi"/>
        </w:rPr>
        <w:t xml:space="preserve">NR </w:t>
      </w:r>
      <w:r w:rsidRPr="00A3006A">
        <w:rPr>
          <w:rFonts w:asciiTheme="majorHAnsi" w:eastAsiaTheme="minorEastAsia" w:hAnsiTheme="majorHAnsi"/>
        </w:rPr>
        <w:t xml:space="preserve">RRC impacts to support QoE measurement continuity for </w:t>
      </w:r>
      <w:r w:rsidR="00D93CA4" w:rsidRPr="009A6803">
        <w:rPr>
          <w:rFonts w:asciiTheme="majorHAnsi" w:eastAsiaTheme="minorEastAsia" w:hAnsiTheme="majorHAnsi"/>
        </w:rPr>
        <w:t>HO from NR to LTE/5GC</w:t>
      </w:r>
      <w:r w:rsidR="00D93CA4" w:rsidRPr="00A3006A">
        <w:rPr>
          <w:rFonts w:asciiTheme="majorHAnsi" w:eastAsiaTheme="minorEastAsia" w:hAnsiTheme="majorHAnsi"/>
        </w:rPr>
        <w:t xml:space="preserve"> </w:t>
      </w:r>
      <w:r w:rsidR="00D93CA4">
        <w:rPr>
          <w:rFonts w:asciiTheme="majorHAnsi" w:eastAsiaTheme="minorEastAsia" w:hAnsiTheme="majorHAnsi"/>
        </w:rPr>
        <w:t xml:space="preserve">and </w:t>
      </w:r>
      <w:r w:rsidRPr="00A3006A">
        <w:rPr>
          <w:rFonts w:asciiTheme="majorHAnsi" w:eastAsiaTheme="minorEastAsia" w:hAnsiTheme="majorHAnsi"/>
        </w:rPr>
        <w:t>HO from LTE/5GC to NR</w:t>
      </w:r>
      <w:r>
        <w:rPr>
          <w:rFonts w:asciiTheme="majorHAnsi" w:eastAsiaTheme="minorEastAsia" w:hAnsiTheme="majorHAnsi"/>
        </w:rPr>
        <w:t>.</w:t>
      </w:r>
    </w:p>
    <w:p w14:paraId="28E52E63" w14:textId="623B4FF0" w:rsidR="00716909" w:rsidRPr="00C4239C" w:rsidRDefault="0022383F" w:rsidP="00C4239C">
      <w:pPr>
        <w:spacing w:afterLines="50" w:after="120"/>
        <w:jc w:val="both"/>
        <w:rPr>
          <w:rFonts w:asciiTheme="majorHAnsi" w:eastAsiaTheme="minorEastAsia" w:hAnsiTheme="majorHAnsi" w:cs="Arial"/>
          <w:lang w:eastAsia="zh-CN"/>
        </w:rPr>
      </w:pPr>
      <w:r w:rsidRPr="00C4239C">
        <w:rPr>
          <w:rFonts w:asciiTheme="majorHAnsi" w:eastAsiaTheme="minorEastAsia" w:hAnsiTheme="majorHAnsi" w:cs="Arial"/>
          <w:lang w:eastAsia="zh-CN"/>
        </w:rPr>
        <w:t xml:space="preserve">A draft LS is provided in the Annex to respond incoming LS </w:t>
      </w:r>
      <w:hyperlink r:id="rId15" w:history="1">
        <w:r w:rsidR="00C4239C" w:rsidRPr="00C4239C">
          <w:rPr>
            <w:rFonts w:asciiTheme="majorHAnsi" w:eastAsiaTheme="minorEastAsia" w:hAnsiTheme="majorHAnsi" w:cs="Arial"/>
            <w:lang w:eastAsia="zh-CN"/>
          </w:rPr>
          <w:t>R3-231110</w:t>
        </w:r>
      </w:hyperlink>
      <w:r w:rsidR="00C4239C">
        <w:rPr>
          <w:rFonts w:asciiTheme="majorHAnsi" w:eastAsiaTheme="minorEastAsia" w:hAnsiTheme="majorHAnsi" w:cs="Arial"/>
          <w:lang w:eastAsia="zh-CN"/>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0D9D59ED" w14:textId="77777777" w:rsidR="00807F0F" w:rsidRPr="00366F53"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63EEB7F5" w:rsidR="00835F85" w:rsidRDefault="000446E5" w:rsidP="00807F0F">
      <w:pPr>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 xml:space="preserve">2] </w:t>
      </w:r>
      <w:r w:rsidR="00F63B61" w:rsidRPr="009D2A4D">
        <w:rPr>
          <w:rFonts w:asciiTheme="majorHAnsi" w:eastAsiaTheme="minorEastAsia" w:hAnsiTheme="majorHAnsi"/>
          <w:lang w:eastAsia="zh-CN"/>
        </w:rPr>
        <w:t>R2-2301902 RAN2#121 Report on LTE legacy, XR, QoE and MUSIM</w:t>
      </w:r>
    </w:p>
    <w:p w14:paraId="16A27E7D" w14:textId="142CD8F8" w:rsidR="00C4239C" w:rsidRDefault="007165BF" w:rsidP="007165BF">
      <w:pPr>
        <w:rPr>
          <w:rFonts w:asciiTheme="majorHAnsi" w:eastAsiaTheme="minorEastAsia" w:hAnsiTheme="majorHAnsi"/>
          <w:lang w:eastAsia="zh-CN"/>
        </w:rPr>
      </w:pPr>
      <w:r>
        <w:rPr>
          <w:rFonts w:asciiTheme="majorHAnsi" w:eastAsiaTheme="minorEastAsia" w:hAnsiTheme="majorHAnsi"/>
          <w:lang w:eastAsia="zh-CN"/>
        </w:rPr>
        <w:t xml:space="preserve">[3] </w:t>
      </w:r>
      <w:hyperlink r:id="rId16" w:history="1">
        <w:r w:rsidR="005C2C94" w:rsidRPr="007165BF">
          <w:rPr>
            <w:rFonts w:asciiTheme="majorHAnsi" w:eastAsiaTheme="minorEastAsia" w:hAnsiTheme="majorHAnsi"/>
            <w:lang w:eastAsia="zh-CN"/>
          </w:rPr>
          <w:t>R3-231110</w:t>
        </w:r>
      </w:hyperlink>
      <w:r>
        <w:rPr>
          <w:rFonts w:asciiTheme="majorHAnsi" w:eastAsiaTheme="minorEastAsia" w:hAnsiTheme="majorHAnsi"/>
          <w:lang w:eastAsia="zh-CN"/>
        </w:rPr>
        <w:t xml:space="preserve"> </w:t>
      </w:r>
      <w:r w:rsidRPr="007165BF">
        <w:rPr>
          <w:rFonts w:asciiTheme="majorHAnsi" w:eastAsiaTheme="minorEastAsia" w:hAnsiTheme="majorHAnsi"/>
          <w:lang w:eastAsia="zh-CN"/>
        </w:rPr>
        <w:t>LS on Continuity of QoE measurements during intra-5GC inter-RAT HO (RAN2, Huawei)</w:t>
      </w:r>
    </w:p>
    <w:p w14:paraId="008193C6" w14:textId="77777777" w:rsidR="007165BF" w:rsidRDefault="007165BF" w:rsidP="007165BF">
      <w:pPr>
        <w:rPr>
          <w:rFonts w:asciiTheme="majorHAnsi" w:eastAsiaTheme="minorEastAsia" w:hAnsiTheme="majorHAnsi"/>
          <w:lang w:eastAsia="zh-CN"/>
        </w:rPr>
      </w:pPr>
    </w:p>
    <w:p w14:paraId="7CBC5988" w14:textId="77777777" w:rsidR="007165BF" w:rsidRDefault="007165BF" w:rsidP="00D2735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ajorHAnsi" w:eastAsiaTheme="minorEastAsia" w:hAnsiTheme="majorHAnsi"/>
          <w:lang w:eastAsia="zh-CN"/>
        </w:rPr>
      </w:pPr>
    </w:p>
    <w:p w14:paraId="3AE071A7" w14:textId="41E10BD7" w:rsidR="003A2957" w:rsidRPr="008866C5" w:rsidRDefault="003A2957" w:rsidP="003A2957">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3211DD">
        <w:rPr>
          <w:rFonts w:cs="Arial"/>
          <w:bCs/>
          <w:noProof w:val="0"/>
          <w:sz w:val="24"/>
          <w:szCs w:val="24"/>
        </w:rPr>
        <w:t>1</w:t>
      </w:r>
      <w:r w:rsidRPr="00273715">
        <w:rPr>
          <w:rFonts w:cs="Arial"/>
          <w:noProof w:val="0"/>
          <w:sz w:val="24"/>
          <w:lang w:eastAsia="zh-CN"/>
        </w:rPr>
        <w:tab/>
      </w:r>
      <w:r w:rsidRPr="00212F14">
        <w:rPr>
          <w:rFonts w:cs="Arial"/>
          <w:noProof w:val="0"/>
          <w:sz w:val="24"/>
          <w:lang w:eastAsia="zh-CN"/>
        </w:rPr>
        <w:t>R3-23</w:t>
      </w:r>
      <w:r>
        <w:rPr>
          <w:rFonts w:cs="Arial"/>
          <w:noProof w:val="0"/>
          <w:sz w:val="24"/>
          <w:lang w:eastAsia="zh-CN"/>
        </w:rPr>
        <w:t>xxxx</w:t>
      </w:r>
    </w:p>
    <w:p w14:paraId="4F74ED95" w14:textId="6B05177C" w:rsidR="003A2957" w:rsidRDefault="003211DD" w:rsidP="003A2957">
      <w:pPr>
        <w:pStyle w:val="a3"/>
        <w:tabs>
          <w:tab w:val="right" w:pos="9639"/>
        </w:tabs>
        <w:jc w:val="both"/>
        <w:rPr>
          <w:rFonts w:cs="Arial"/>
          <w:bCs/>
          <w:noProof w:val="0"/>
          <w:sz w:val="24"/>
          <w:szCs w:val="24"/>
        </w:rPr>
      </w:pPr>
      <w:r>
        <w:rPr>
          <w:rFonts w:cs="Arial"/>
          <w:bCs/>
          <w:noProof w:val="0"/>
          <w:sz w:val="24"/>
          <w:szCs w:val="24"/>
        </w:rPr>
        <w:t xml:space="preserve">Toulouse, France, </w:t>
      </w:r>
      <w:r w:rsidR="00D77EBF">
        <w:rPr>
          <w:rFonts w:cs="Arial"/>
          <w:bCs/>
          <w:noProof w:val="0"/>
          <w:sz w:val="24"/>
          <w:szCs w:val="24"/>
        </w:rPr>
        <w:t>21</w:t>
      </w:r>
      <w:r w:rsidR="00D77EBF" w:rsidRPr="004E1FA9">
        <w:rPr>
          <w:rFonts w:cs="Arial"/>
          <w:bCs/>
          <w:noProof w:val="0"/>
          <w:sz w:val="24"/>
          <w:szCs w:val="24"/>
          <w:vertAlign w:val="superscript"/>
        </w:rPr>
        <w:t>st</w:t>
      </w:r>
      <w:r w:rsidR="00D77EBF">
        <w:rPr>
          <w:rFonts w:cs="Arial"/>
          <w:bCs/>
          <w:noProof w:val="0"/>
          <w:sz w:val="24"/>
          <w:szCs w:val="24"/>
        </w:rPr>
        <w:t xml:space="preserve"> – 25</w:t>
      </w:r>
      <w:r w:rsidR="00D77EBF" w:rsidRPr="004E1FA9">
        <w:rPr>
          <w:rFonts w:cs="Arial"/>
          <w:bCs/>
          <w:noProof w:val="0"/>
          <w:sz w:val="24"/>
          <w:szCs w:val="24"/>
          <w:vertAlign w:val="superscript"/>
        </w:rPr>
        <w:t>th</w:t>
      </w:r>
      <w:r w:rsidR="00D77EBF">
        <w:rPr>
          <w:rFonts w:cs="Arial"/>
          <w:bCs/>
          <w:noProof w:val="0"/>
          <w:sz w:val="24"/>
          <w:szCs w:val="24"/>
        </w:rPr>
        <w:t xml:space="preserve"> August </w:t>
      </w:r>
      <w:r w:rsidR="00D77EBF" w:rsidRPr="00663AA3">
        <w:rPr>
          <w:rFonts w:cs="Arial"/>
          <w:bCs/>
          <w:noProof w:val="0"/>
          <w:sz w:val="24"/>
          <w:szCs w:val="24"/>
        </w:rPr>
        <w:t>2023</w:t>
      </w:r>
    </w:p>
    <w:p w14:paraId="0B1CCCA9" w14:textId="53CB45C5" w:rsidR="003A2957" w:rsidRPr="003A2957" w:rsidRDefault="003A2957" w:rsidP="003A2957">
      <w:pPr>
        <w:tabs>
          <w:tab w:val="center" w:pos="4153"/>
          <w:tab w:val="right" w:pos="8306"/>
        </w:tabs>
        <w:overflowPunct/>
        <w:autoSpaceDE/>
        <w:autoSpaceDN/>
        <w:adjustRightInd/>
        <w:spacing w:after="0"/>
        <w:textAlignment w:val="auto"/>
        <w:rPr>
          <w:rFonts w:ascii="Arial" w:eastAsia="宋体" w:hAnsi="Arial" w:cs="Arial"/>
          <w:b/>
          <w:bCs/>
          <w:sz w:val="22"/>
          <w:lang w:eastAsia="en-US"/>
        </w:rPr>
      </w:pPr>
    </w:p>
    <w:p w14:paraId="6AE431A1" w14:textId="77777777" w:rsidR="003A2957" w:rsidRPr="003A2957" w:rsidRDefault="003A2957" w:rsidP="003A2957">
      <w:pPr>
        <w:overflowPunct/>
        <w:autoSpaceDE/>
        <w:autoSpaceDN/>
        <w:adjustRightInd/>
        <w:spacing w:after="0"/>
        <w:textAlignment w:val="auto"/>
        <w:rPr>
          <w:rFonts w:ascii="Arial" w:eastAsia="宋体" w:hAnsi="Arial" w:cs="Arial"/>
          <w:lang w:eastAsia="en-US"/>
        </w:rPr>
      </w:pPr>
    </w:p>
    <w:p w14:paraId="4F50DD35" w14:textId="08D4FBD5"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Title:</w:t>
      </w:r>
      <w:r w:rsidRPr="003A2957">
        <w:rPr>
          <w:rFonts w:ascii="Arial" w:eastAsia="宋体" w:hAnsi="Arial" w:cs="Arial"/>
          <w:b/>
          <w:lang w:eastAsia="en-US"/>
        </w:rPr>
        <w:tab/>
      </w:r>
      <w:bookmarkStart w:id="5" w:name="_Hlk92743682"/>
      <w:r w:rsidRPr="003A2957">
        <w:rPr>
          <w:rFonts w:ascii="Arial" w:eastAsia="宋体" w:hAnsi="Arial" w:cs="Arial"/>
          <w:color w:val="000000"/>
          <w:lang w:eastAsia="en-US"/>
        </w:rPr>
        <w:t>[Draft] Response LS on Continuity of QoE measurements during intra-5GC inter-RAT HO</w:t>
      </w:r>
    </w:p>
    <w:bookmarkEnd w:id="5"/>
    <w:p w14:paraId="6C430D7F" w14:textId="598BFE9B"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Response to:</w:t>
      </w:r>
      <w:r w:rsidRPr="003A2957">
        <w:rPr>
          <w:rFonts w:ascii="Arial" w:eastAsia="宋体" w:hAnsi="Arial" w:cs="Arial"/>
          <w:bCs/>
          <w:lang w:eastAsia="en-US"/>
        </w:rPr>
        <w:tab/>
      </w:r>
      <w:r w:rsidR="009E7539" w:rsidRPr="00E96EB8">
        <w:rPr>
          <w:rFonts w:ascii="Arial" w:eastAsia="宋体" w:hAnsi="Arial" w:cs="Arial"/>
          <w:bCs/>
          <w:lang w:eastAsia="en-US"/>
        </w:rPr>
        <w:t>R2-2302020/R3-</w:t>
      </w:r>
      <w:r w:rsidR="00E96EB8" w:rsidRPr="00E96EB8">
        <w:rPr>
          <w:rFonts w:ascii="Arial" w:eastAsia="宋体" w:hAnsi="Arial" w:cs="Arial"/>
          <w:bCs/>
          <w:lang w:eastAsia="en-US"/>
        </w:rPr>
        <w:t>231110</w:t>
      </w:r>
    </w:p>
    <w:p w14:paraId="6369B9C5"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Release:</w:t>
      </w:r>
      <w:r w:rsidRPr="003A2957">
        <w:rPr>
          <w:rFonts w:ascii="Arial" w:eastAsia="宋体" w:hAnsi="Arial" w:cs="Arial"/>
          <w:bCs/>
          <w:lang w:eastAsia="en-US"/>
        </w:rPr>
        <w:tab/>
        <w:t>Release 18</w:t>
      </w:r>
    </w:p>
    <w:p w14:paraId="6A08A57D"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Work Item:</w:t>
      </w:r>
      <w:r w:rsidRPr="003A2957">
        <w:rPr>
          <w:rFonts w:ascii="Arial" w:eastAsia="宋体" w:hAnsi="Arial" w:cs="Arial"/>
          <w:bCs/>
          <w:lang w:eastAsia="en-US"/>
        </w:rPr>
        <w:tab/>
        <w:t>NR_QoE_enh-Core</w:t>
      </w:r>
    </w:p>
    <w:p w14:paraId="68C18DF7"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
          <w:lang w:eastAsia="en-US"/>
        </w:rPr>
      </w:pPr>
    </w:p>
    <w:p w14:paraId="64702999" w14:textId="032D7EC4"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Source:</w:t>
      </w:r>
      <w:r w:rsidRPr="003A2957">
        <w:rPr>
          <w:rFonts w:ascii="Arial" w:eastAsia="宋体" w:hAnsi="Arial" w:cs="Arial"/>
          <w:bCs/>
          <w:lang w:eastAsia="en-US"/>
        </w:rPr>
        <w:tab/>
      </w:r>
      <w:r w:rsidRPr="003A2957">
        <w:rPr>
          <w:rFonts w:ascii="Arial" w:eastAsia="宋体" w:hAnsi="Arial" w:cs="Arial" w:hint="eastAsia"/>
          <w:bCs/>
          <w:lang w:eastAsia="zh-CN"/>
        </w:rPr>
        <w:t>RAN</w:t>
      </w:r>
      <w:r>
        <w:rPr>
          <w:rFonts w:ascii="Arial" w:eastAsia="宋体" w:hAnsi="Arial" w:cs="Arial"/>
          <w:bCs/>
          <w:lang w:eastAsia="zh-CN"/>
        </w:rPr>
        <w:t>3</w:t>
      </w:r>
    </w:p>
    <w:p w14:paraId="3DF8CFDD" w14:textId="4E1025F0"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To:</w:t>
      </w:r>
      <w:r w:rsidRPr="003A2957">
        <w:rPr>
          <w:rFonts w:ascii="Arial" w:eastAsia="宋体" w:hAnsi="Arial" w:cs="Arial"/>
          <w:bCs/>
          <w:lang w:eastAsia="en-US"/>
        </w:rPr>
        <w:tab/>
      </w:r>
      <w:r w:rsidRPr="003A2957">
        <w:rPr>
          <w:rFonts w:ascii="Arial" w:eastAsia="宋体" w:hAnsi="Arial" w:cs="Arial" w:hint="eastAsia"/>
          <w:bCs/>
          <w:lang w:eastAsia="zh-CN"/>
        </w:rPr>
        <w:t>RAN</w:t>
      </w:r>
      <w:r>
        <w:rPr>
          <w:rFonts w:ascii="Arial" w:eastAsia="宋体" w:hAnsi="Arial" w:cs="Arial"/>
          <w:bCs/>
          <w:lang w:eastAsia="zh-CN"/>
        </w:rPr>
        <w:t>2</w:t>
      </w:r>
      <w:r w:rsidRPr="003A2957">
        <w:rPr>
          <w:rFonts w:ascii="Arial" w:eastAsia="宋体" w:hAnsi="Arial" w:cs="Arial"/>
          <w:bCs/>
          <w:lang w:eastAsia="en-US"/>
        </w:rPr>
        <w:t>, SA4</w:t>
      </w:r>
    </w:p>
    <w:p w14:paraId="0D4B1FBD"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Cc:</w:t>
      </w:r>
      <w:r w:rsidRPr="003A2957">
        <w:rPr>
          <w:rFonts w:ascii="Arial" w:eastAsia="宋体" w:hAnsi="Arial" w:cs="Arial"/>
          <w:bCs/>
          <w:lang w:eastAsia="en-US"/>
        </w:rPr>
        <w:tab/>
        <w:t>-</w:t>
      </w:r>
    </w:p>
    <w:p w14:paraId="160D4FF5"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p>
    <w:p w14:paraId="17C1299F" w14:textId="77777777" w:rsidR="003A2957" w:rsidRPr="003A2957" w:rsidRDefault="003A2957" w:rsidP="003A2957">
      <w:pPr>
        <w:tabs>
          <w:tab w:val="left" w:pos="2268"/>
        </w:tabs>
        <w:overflowPunct/>
        <w:autoSpaceDE/>
        <w:autoSpaceDN/>
        <w:adjustRightInd/>
        <w:spacing w:after="0"/>
        <w:textAlignment w:val="auto"/>
        <w:rPr>
          <w:rFonts w:ascii="Arial" w:eastAsia="宋体" w:hAnsi="Arial" w:cs="Arial"/>
          <w:bCs/>
          <w:lang w:eastAsia="en-US"/>
        </w:rPr>
      </w:pPr>
      <w:r w:rsidRPr="003A2957">
        <w:rPr>
          <w:rFonts w:ascii="Arial" w:eastAsia="宋体" w:hAnsi="Arial" w:cs="Arial"/>
          <w:b/>
          <w:lang w:eastAsia="en-US"/>
        </w:rPr>
        <w:t>Contact Person:</w:t>
      </w:r>
      <w:r w:rsidRPr="003A2957">
        <w:rPr>
          <w:rFonts w:ascii="Arial" w:eastAsia="宋体" w:hAnsi="Arial" w:cs="Arial"/>
          <w:bCs/>
          <w:lang w:eastAsia="en-US"/>
        </w:rPr>
        <w:tab/>
      </w:r>
    </w:p>
    <w:p w14:paraId="68667467" w14:textId="7E837950" w:rsidR="003A2957" w:rsidRPr="003A2957" w:rsidRDefault="003A2957" w:rsidP="003A2957">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3A2957">
        <w:rPr>
          <w:rFonts w:ascii="Arial" w:eastAsia="宋体" w:hAnsi="Arial" w:cs="Arial"/>
          <w:b/>
          <w:lang w:eastAsia="en-US"/>
        </w:rPr>
        <w:t>Name:</w:t>
      </w:r>
      <w:r w:rsidRPr="003A2957">
        <w:rPr>
          <w:rFonts w:ascii="Arial" w:eastAsia="宋体" w:hAnsi="Arial" w:cs="Arial"/>
          <w:bCs/>
          <w:lang w:eastAsia="en-US"/>
        </w:rPr>
        <w:tab/>
      </w:r>
      <w:r>
        <w:rPr>
          <w:rFonts w:ascii="Arial" w:eastAsia="宋体" w:hAnsi="Arial" w:cs="Arial"/>
          <w:bCs/>
          <w:lang w:eastAsia="en-US"/>
        </w:rPr>
        <w:t>Mingzeng Dai</w:t>
      </w:r>
    </w:p>
    <w:p w14:paraId="3D8C83BC" w14:textId="677E192E" w:rsidR="003A2957" w:rsidRPr="003A2957" w:rsidRDefault="003A2957" w:rsidP="003A2957">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eastAsia="en-US"/>
        </w:rPr>
      </w:pPr>
      <w:r w:rsidRPr="003A2957">
        <w:rPr>
          <w:rFonts w:ascii="Arial" w:eastAsia="宋体" w:hAnsi="Arial" w:cs="Arial"/>
          <w:b/>
          <w:color w:val="0000FF"/>
          <w:lang w:val="en-US" w:eastAsia="en-US"/>
        </w:rPr>
        <w:t>E-mail Address:</w:t>
      </w:r>
      <w:r w:rsidRPr="003A2957">
        <w:rPr>
          <w:rFonts w:ascii="Arial" w:eastAsia="宋体" w:hAnsi="Arial" w:cs="Arial"/>
          <w:bCs/>
          <w:color w:val="0000FF"/>
          <w:lang w:val="en-US" w:eastAsia="en-US"/>
        </w:rPr>
        <w:tab/>
      </w:r>
      <w:r>
        <w:rPr>
          <w:rFonts w:ascii="Arial" w:eastAsia="宋体" w:hAnsi="Arial" w:cs="Arial"/>
          <w:bCs/>
          <w:color w:val="0000FF"/>
          <w:lang w:val="en-US" w:eastAsia="en-US"/>
        </w:rPr>
        <w:t>daimz4@lenovo.com</w:t>
      </w:r>
    </w:p>
    <w:p w14:paraId="52A6A7DA"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
          <w:lang w:val="en-US" w:eastAsia="en-US"/>
        </w:rPr>
      </w:pPr>
    </w:p>
    <w:p w14:paraId="5E8226E4" w14:textId="77777777" w:rsidR="003A2957" w:rsidRPr="003A2957" w:rsidRDefault="003A2957" w:rsidP="003A2957">
      <w:pPr>
        <w:tabs>
          <w:tab w:val="left" w:pos="2268"/>
        </w:tabs>
        <w:overflowPunct/>
        <w:autoSpaceDE/>
        <w:autoSpaceDN/>
        <w:adjustRightInd/>
        <w:spacing w:after="0"/>
        <w:textAlignment w:val="auto"/>
        <w:rPr>
          <w:rFonts w:ascii="Arial" w:eastAsia="宋体" w:hAnsi="Arial" w:cs="Arial"/>
          <w:bCs/>
          <w:lang w:eastAsia="en-US"/>
        </w:rPr>
      </w:pPr>
      <w:r w:rsidRPr="003A2957">
        <w:rPr>
          <w:rFonts w:ascii="Arial" w:eastAsia="宋体" w:hAnsi="Arial" w:cs="Arial"/>
          <w:b/>
          <w:lang w:eastAsia="en-US"/>
        </w:rPr>
        <w:t xml:space="preserve">Send any </w:t>
      </w:r>
      <w:proofErr w:type="gramStart"/>
      <w:r w:rsidRPr="003A2957">
        <w:rPr>
          <w:rFonts w:ascii="Arial" w:eastAsia="宋体" w:hAnsi="Arial" w:cs="Arial"/>
          <w:b/>
          <w:lang w:eastAsia="en-US"/>
        </w:rPr>
        <w:t>reply</w:t>
      </w:r>
      <w:proofErr w:type="gramEnd"/>
      <w:r w:rsidRPr="003A2957">
        <w:rPr>
          <w:rFonts w:ascii="Arial" w:eastAsia="宋体" w:hAnsi="Arial" w:cs="Arial"/>
          <w:b/>
          <w:lang w:eastAsia="en-US"/>
        </w:rPr>
        <w:t xml:space="preserve"> LS to:</w:t>
      </w:r>
      <w:r w:rsidRPr="003A2957">
        <w:rPr>
          <w:rFonts w:ascii="Arial" w:eastAsia="宋体" w:hAnsi="Arial" w:cs="Arial"/>
          <w:b/>
          <w:lang w:eastAsia="en-US"/>
        </w:rPr>
        <w:tab/>
        <w:t xml:space="preserve">3GPP Liaisons Coordinator, </w:t>
      </w:r>
      <w:hyperlink r:id="rId17" w:history="1">
        <w:r w:rsidRPr="003A2957">
          <w:rPr>
            <w:rFonts w:ascii="Arial" w:eastAsia="宋体" w:hAnsi="Arial" w:cs="Arial"/>
            <w:b/>
            <w:color w:val="0000FF"/>
            <w:u w:val="single"/>
            <w:lang w:eastAsia="en-US"/>
          </w:rPr>
          <w:t>mailto:3GPPLiaison@etsi.org</w:t>
        </w:r>
      </w:hyperlink>
      <w:r w:rsidRPr="003A2957">
        <w:rPr>
          <w:rFonts w:ascii="Arial" w:eastAsia="宋体" w:hAnsi="Arial" w:cs="Arial"/>
          <w:b/>
          <w:lang w:eastAsia="en-US"/>
        </w:rPr>
        <w:t xml:space="preserve"> </w:t>
      </w:r>
      <w:r w:rsidRPr="003A2957">
        <w:rPr>
          <w:rFonts w:ascii="Arial" w:eastAsia="宋体" w:hAnsi="Arial" w:cs="Arial"/>
          <w:bCs/>
          <w:lang w:eastAsia="en-US"/>
        </w:rPr>
        <w:tab/>
      </w:r>
    </w:p>
    <w:p w14:paraId="421AEAB8"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
          <w:lang w:eastAsia="en-US"/>
        </w:rPr>
      </w:pPr>
    </w:p>
    <w:p w14:paraId="1DAB7248" w14:textId="77777777" w:rsidR="003A2957" w:rsidRPr="003A2957" w:rsidRDefault="003A2957" w:rsidP="003A2957">
      <w:pPr>
        <w:overflowPunct/>
        <w:autoSpaceDE/>
        <w:autoSpaceDN/>
        <w:adjustRightInd/>
        <w:spacing w:after="60"/>
        <w:ind w:left="1985" w:hanging="1985"/>
        <w:textAlignment w:val="auto"/>
        <w:rPr>
          <w:rFonts w:ascii="Arial" w:eastAsia="宋体" w:hAnsi="Arial" w:cs="Arial"/>
          <w:bCs/>
          <w:lang w:eastAsia="en-US"/>
        </w:rPr>
      </w:pPr>
      <w:r w:rsidRPr="003A2957">
        <w:rPr>
          <w:rFonts w:ascii="Arial" w:eastAsia="宋体" w:hAnsi="Arial" w:cs="Arial"/>
          <w:b/>
          <w:lang w:eastAsia="en-US"/>
        </w:rPr>
        <w:t>Attachments:</w:t>
      </w:r>
      <w:r w:rsidRPr="003A2957">
        <w:rPr>
          <w:rFonts w:ascii="Arial" w:eastAsia="宋体" w:hAnsi="Arial" w:cs="Arial"/>
          <w:bCs/>
          <w:lang w:eastAsia="en-US"/>
        </w:rPr>
        <w:tab/>
        <w:t>-</w:t>
      </w:r>
    </w:p>
    <w:p w14:paraId="554BFB0A" w14:textId="77777777" w:rsidR="003A2957" w:rsidRPr="003A2957" w:rsidRDefault="003A2957" w:rsidP="003A2957">
      <w:pPr>
        <w:pBdr>
          <w:bottom w:val="single" w:sz="4" w:space="1" w:color="auto"/>
        </w:pBdr>
        <w:overflowPunct/>
        <w:autoSpaceDE/>
        <w:autoSpaceDN/>
        <w:adjustRightInd/>
        <w:spacing w:after="0"/>
        <w:textAlignment w:val="auto"/>
        <w:rPr>
          <w:rFonts w:ascii="Arial" w:eastAsia="宋体" w:hAnsi="Arial" w:cs="Arial"/>
          <w:lang w:eastAsia="en-US"/>
        </w:rPr>
      </w:pPr>
    </w:p>
    <w:p w14:paraId="5EEA8207" w14:textId="77777777" w:rsidR="003A2957" w:rsidRPr="003A2957" w:rsidRDefault="003A2957" w:rsidP="003A2957">
      <w:pPr>
        <w:overflowPunct/>
        <w:autoSpaceDE/>
        <w:autoSpaceDN/>
        <w:adjustRightInd/>
        <w:spacing w:after="0"/>
        <w:textAlignment w:val="auto"/>
        <w:rPr>
          <w:rFonts w:ascii="Arial" w:eastAsia="宋体" w:hAnsi="Arial" w:cs="Arial"/>
          <w:lang w:eastAsia="en-US"/>
        </w:rPr>
      </w:pPr>
    </w:p>
    <w:p w14:paraId="658B26C0" w14:textId="6724E943" w:rsidR="003A2957" w:rsidRPr="00126498" w:rsidRDefault="00126498" w:rsidP="00126498">
      <w:pPr>
        <w:overflowPunct/>
        <w:autoSpaceDE/>
        <w:autoSpaceDN/>
        <w:adjustRightInd/>
        <w:spacing w:after="120"/>
        <w:textAlignment w:val="auto"/>
        <w:rPr>
          <w:rFonts w:ascii="Arial" w:eastAsia="宋体" w:hAnsi="Arial" w:cs="Arial"/>
          <w:b/>
          <w:lang w:eastAsia="en-US"/>
        </w:rPr>
      </w:pPr>
      <w:r w:rsidRPr="00126498">
        <w:rPr>
          <w:rFonts w:ascii="Arial" w:eastAsia="宋体" w:hAnsi="Arial" w:cs="Arial"/>
          <w:b/>
          <w:lang w:eastAsia="en-US"/>
        </w:rPr>
        <w:t>1.</w:t>
      </w:r>
      <w:r>
        <w:rPr>
          <w:rFonts w:ascii="Arial" w:eastAsia="宋体" w:hAnsi="Arial" w:cs="Arial"/>
          <w:b/>
          <w:lang w:eastAsia="en-US"/>
        </w:rPr>
        <w:t xml:space="preserve"> </w:t>
      </w:r>
      <w:r w:rsidR="003A2957" w:rsidRPr="00126498">
        <w:rPr>
          <w:rFonts w:ascii="Arial" w:eastAsia="宋体" w:hAnsi="Arial" w:cs="Arial"/>
          <w:b/>
          <w:lang w:eastAsia="en-US"/>
        </w:rPr>
        <w:t>Overall Description:</w:t>
      </w:r>
    </w:p>
    <w:p w14:paraId="6082DDF5" w14:textId="4B8CF78A" w:rsidR="00126498" w:rsidRDefault="00126498" w:rsidP="00F509C9">
      <w:pPr>
        <w:tabs>
          <w:tab w:val="center" w:pos="4153"/>
          <w:tab w:val="right" w:pos="8306"/>
        </w:tabs>
        <w:overflowPunct/>
        <w:autoSpaceDE/>
        <w:autoSpaceDN/>
        <w:adjustRightInd/>
        <w:spacing w:after="120"/>
        <w:textAlignment w:val="auto"/>
        <w:rPr>
          <w:rFonts w:ascii="Arial" w:eastAsia="宋体" w:hAnsi="Arial" w:cs="Arial"/>
          <w:lang w:eastAsia="zh-CN"/>
        </w:rPr>
      </w:pPr>
      <w:r w:rsidRPr="00E96EB8">
        <w:rPr>
          <w:rFonts w:ascii="Arial" w:eastAsia="宋体" w:hAnsi="Arial" w:cs="Arial" w:hint="eastAsia"/>
          <w:lang w:eastAsia="zh-CN"/>
        </w:rPr>
        <w:t>R</w:t>
      </w:r>
      <w:r w:rsidRPr="00E96EB8">
        <w:rPr>
          <w:rFonts w:ascii="Arial" w:eastAsia="宋体" w:hAnsi="Arial" w:cs="Arial"/>
          <w:lang w:eastAsia="zh-CN"/>
        </w:rPr>
        <w:t xml:space="preserve">AN3 thanks RAN2 for the LS on </w:t>
      </w:r>
      <w:r w:rsidRPr="003A2957">
        <w:rPr>
          <w:rFonts w:ascii="Arial" w:eastAsia="宋体" w:hAnsi="Arial" w:cs="Arial"/>
          <w:lang w:eastAsia="zh-CN"/>
        </w:rPr>
        <w:t>Continuity of QoE measurements during intra-5GC inter-RAT HO</w:t>
      </w:r>
      <w:r w:rsidR="00E96EB8">
        <w:rPr>
          <w:rFonts w:ascii="Arial" w:eastAsia="宋体" w:hAnsi="Arial" w:cs="Arial"/>
          <w:lang w:eastAsia="zh-CN"/>
        </w:rPr>
        <w:t xml:space="preserve">. </w:t>
      </w:r>
      <w:r w:rsidR="00F509C9">
        <w:rPr>
          <w:rFonts w:ascii="Arial" w:eastAsia="宋体" w:hAnsi="Arial" w:cs="Arial"/>
          <w:lang w:eastAsia="zh-CN"/>
        </w:rPr>
        <w:t xml:space="preserve">RAN3 agreed the following solutions to support </w:t>
      </w:r>
      <w:r w:rsidR="00F509C9" w:rsidRPr="003A2957">
        <w:rPr>
          <w:rFonts w:ascii="Arial" w:eastAsia="宋体" w:hAnsi="Arial" w:cs="Arial"/>
          <w:lang w:eastAsia="zh-CN"/>
        </w:rPr>
        <w:t>Continuity of QoE measurements during intra-5GC inter-RAT HO</w:t>
      </w:r>
      <w:r w:rsidR="00F509C9">
        <w:rPr>
          <w:rFonts w:ascii="Arial" w:eastAsia="宋体" w:hAnsi="Arial" w:cs="Arial"/>
          <w:lang w:eastAsia="zh-CN"/>
        </w:rPr>
        <w:t>.</w:t>
      </w:r>
    </w:p>
    <w:p w14:paraId="17B80A11" w14:textId="645446C5" w:rsidR="00DB069B" w:rsidRPr="00DB069B" w:rsidRDefault="00DB069B" w:rsidP="00DB069B">
      <w:pPr>
        <w:tabs>
          <w:tab w:val="center" w:pos="4153"/>
          <w:tab w:val="right" w:pos="8306"/>
        </w:tabs>
        <w:overflowPunct/>
        <w:autoSpaceDE/>
        <w:autoSpaceDN/>
        <w:adjustRightInd/>
        <w:spacing w:after="120"/>
        <w:textAlignment w:val="auto"/>
        <w:rPr>
          <w:rFonts w:ascii="Arial" w:eastAsia="宋体" w:hAnsi="Arial" w:cs="Arial"/>
          <w:lang w:eastAsia="zh-CN"/>
        </w:rPr>
      </w:pPr>
      <w:r w:rsidRPr="00DB069B">
        <w:rPr>
          <w:rFonts w:ascii="Arial" w:eastAsia="宋体" w:hAnsi="Arial" w:cs="Arial"/>
          <w:lang w:eastAsia="zh-CN"/>
        </w:rPr>
        <w:tab/>
        <w:t>To support QoE measurement continuity for HO from NR to LTE/5GC without LTE spec impact:</w:t>
      </w:r>
    </w:p>
    <w:p w14:paraId="0A66FD87" w14:textId="407944D6" w:rsidR="00DB069B" w:rsidRPr="00DB069B" w:rsidRDefault="00DB069B" w:rsidP="00DB069B">
      <w:pPr>
        <w:pStyle w:val="B1"/>
        <w:rPr>
          <w:rFonts w:ascii="Arial" w:eastAsia="宋体" w:hAnsi="Arial" w:cs="Arial"/>
          <w:lang w:eastAsia="zh-CN"/>
        </w:rPr>
      </w:pPr>
      <w:r w:rsidRPr="00DB069B">
        <w:rPr>
          <w:rFonts w:ascii="Arial" w:eastAsia="宋体" w:hAnsi="Arial" w:cs="Arial"/>
          <w:lang w:eastAsia="zh-CN"/>
        </w:rPr>
        <w:t>-</w:t>
      </w:r>
      <w:r w:rsidRPr="00DB069B">
        <w:rPr>
          <w:rFonts w:ascii="Arial" w:eastAsia="宋体" w:hAnsi="Arial" w:cs="Arial"/>
          <w:lang w:eastAsia="zh-CN"/>
        </w:rPr>
        <w:tab/>
        <w:t>The OAM system or CN provides an inter-RAT QoE continuity indication of one of QoE measurements which is used to indicate which QoE measurement (i.e., application layer measurement) is continued and kept during inter-RAT handover from gNB to ng-</w:t>
      </w:r>
      <w:proofErr w:type="gramStart"/>
      <w:r w:rsidRPr="00DB069B">
        <w:rPr>
          <w:rFonts w:ascii="Arial" w:eastAsia="宋体" w:hAnsi="Arial" w:cs="Arial"/>
          <w:lang w:eastAsia="zh-CN"/>
        </w:rPr>
        <w:t>eNB;</w:t>
      </w:r>
      <w:proofErr w:type="gramEnd"/>
      <w:r w:rsidRPr="00DB069B">
        <w:rPr>
          <w:rFonts w:ascii="Arial" w:eastAsia="宋体" w:hAnsi="Arial" w:cs="Arial"/>
          <w:lang w:eastAsia="zh-CN"/>
        </w:rPr>
        <w:t xml:space="preserve"> </w:t>
      </w:r>
    </w:p>
    <w:p w14:paraId="2C18E53B" w14:textId="0752983E" w:rsidR="00DB069B" w:rsidRPr="00DB069B" w:rsidRDefault="00DB069B" w:rsidP="00DB069B">
      <w:pPr>
        <w:pStyle w:val="B1"/>
        <w:rPr>
          <w:rFonts w:ascii="Arial" w:eastAsia="宋体" w:hAnsi="Arial" w:cs="Arial"/>
          <w:lang w:eastAsia="zh-CN"/>
        </w:rPr>
      </w:pPr>
      <w:r w:rsidRPr="00DB069B">
        <w:rPr>
          <w:rFonts w:ascii="Arial" w:eastAsia="宋体" w:hAnsi="Arial" w:cs="Arial"/>
          <w:lang w:eastAsia="zh-CN"/>
        </w:rPr>
        <w:t>-</w:t>
      </w:r>
      <w:r w:rsidRPr="00DB069B">
        <w:rPr>
          <w:rFonts w:ascii="Arial" w:eastAsia="宋体" w:hAnsi="Arial" w:cs="Arial"/>
          <w:lang w:eastAsia="zh-CN"/>
        </w:rPr>
        <w:tab/>
        <w:t>For the QoE measurement, the gNB provides the inter-RAT QoE continuity indication to the UE as received from OAM system or CN.</w:t>
      </w:r>
    </w:p>
    <w:p w14:paraId="521EE352" w14:textId="06A7357A" w:rsidR="00DB069B" w:rsidRPr="00DB069B" w:rsidRDefault="00DB069B" w:rsidP="00DB069B">
      <w:pPr>
        <w:pStyle w:val="B1"/>
        <w:rPr>
          <w:rFonts w:ascii="Arial" w:eastAsia="宋体" w:hAnsi="Arial" w:cs="Arial"/>
          <w:lang w:eastAsia="zh-CN"/>
        </w:rPr>
      </w:pPr>
      <w:r w:rsidRPr="00DB069B">
        <w:rPr>
          <w:rFonts w:ascii="Arial" w:eastAsia="宋体" w:hAnsi="Arial" w:cs="Arial"/>
          <w:lang w:eastAsia="zh-CN"/>
        </w:rPr>
        <w:t>-</w:t>
      </w:r>
      <w:r w:rsidRPr="00DB069B">
        <w:rPr>
          <w:rFonts w:ascii="Arial" w:eastAsia="宋体" w:hAnsi="Arial" w:cs="Arial"/>
          <w:lang w:eastAsia="zh-CN"/>
        </w:rPr>
        <w:tab/>
        <w:t>The source gNB generates and provides LTE RRC QoE configuration of the QoE measurement configuration in the source eNB to target ng-eNB transparent container to the target ng-eNB. The LTE RRC QoE configuration is encoded in LTE RRC ASN.1 format.</w:t>
      </w:r>
    </w:p>
    <w:p w14:paraId="1FE89FCF" w14:textId="57BB5093" w:rsidR="00F509C9" w:rsidRPr="00DB069B" w:rsidRDefault="00DB069B" w:rsidP="00DB069B">
      <w:pPr>
        <w:pStyle w:val="B1"/>
        <w:rPr>
          <w:rFonts w:ascii="Arial" w:eastAsia="宋体" w:hAnsi="Arial" w:cs="Arial"/>
          <w:lang w:eastAsia="zh-CN"/>
        </w:rPr>
      </w:pPr>
      <w:r w:rsidRPr="00DB069B">
        <w:rPr>
          <w:rFonts w:ascii="Arial" w:eastAsia="宋体" w:hAnsi="Arial" w:cs="Arial"/>
          <w:lang w:eastAsia="zh-CN"/>
        </w:rPr>
        <w:t>-</w:t>
      </w:r>
      <w:r w:rsidRPr="00DB069B">
        <w:rPr>
          <w:rFonts w:ascii="Arial" w:eastAsia="宋体" w:hAnsi="Arial" w:cs="Arial"/>
          <w:lang w:eastAsia="zh-CN"/>
        </w:rPr>
        <w:tab/>
        <w:t xml:space="preserve">When UE receives the LTE QoE configuration in the </w:t>
      </w:r>
      <w:r w:rsidRPr="0076497A">
        <w:rPr>
          <w:rFonts w:ascii="Arial" w:eastAsia="宋体" w:hAnsi="Arial" w:cs="Arial"/>
          <w:i/>
          <w:iCs/>
          <w:lang w:eastAsia="zh-CN"/>
        </w:rPr>
        <w:t>MobilityFromNRCommand</w:t>
      </w:r>
      <w:r w:rsidRPr="00DB069B">
        <w:rPr>
          <w:rFonts w:ascii="Arial" w:eastAsia="宋体" w:hAnsi="Arial" w:cs="Arial"/>
          <w:lang w:eastAsia="zh-CN"/>
        </w:rPr>
        <w:t xml:space="preserve"> message, the UE continues the QoE measurement with provided ‘IRAT continuity indication’ of the service type and release the other QoE configurations of the service type</w:t>
      </w:r>
    </w:p>
    <w:p w14:paraId="5B11DE77" w14:textId="77777777" w:rsidR="00DB069B" w:rsidRPr="00DB069B" w:rsidRDefault="00DB069B" w:rsidP="00DB069B">
      <w:pPr>
        <w:tabs>
          <w:tab w:val="center" w:pos="4153"/>
          <w:tab w:val="right" w:pos="8306"/>
        </w:tabs>
        <w:overflowPunct/>
        <w:autoSpaceDE/>
        <w:autoSpaceDN/>
        <w:adjustRightInd/>
        <w:spacing w:after="120"/>
        <w:textAlignment w:val="auto"/>
        <w:rPr>
          <w:rFonts w:ascii="Arial" w:eastAsia="宋体" w:hAnsi="Arial" w:cs="Arial"/>
          <w:lang w:eastAsia="zh-CN"/>
        </w:rPr>
      </w:pPr>
      <w:r w:rsidRPr="00DB069B">
        <w:rPr>
          <w:rFonts w:ascii="Arial" w:eastAsia="宋体" w:hAnsi="Arial" w:cs="Arial"/>
          <w:lang w:eastAsia="zh-CN"/>
        </w:rPr>
        <w:t>To support QoE measurement continuity for HO from LTE/5GC to NR without LTE spec impact:</w:t>
      </w:r>
    </w:p>
    <w:p w14:paraId="57905AEA" w14:textId="78406792" w:rsidR="00DB069B" w:rsidRPr="00DB069B" w:rsidRDefault="00DB069B" w:rsidP="00DB069B">
      <w:pPr>
        <w:pStyle w:val="B1"/>
        <w:rPr>
          <w:rFonts w:ascii="Arial" w:eastAsia="宋体" w:hAnsi="Arial" w:cs="Arial"/>
          <w:lang w:eastAsia="zh-CN"/>
        </w:rPr>
      </w:pPr>
      <w:r w:rsidRPr="00DB069B">
        <w:rPr>
          <w:rFonts w:ascii="Arial" w:eastAsia="宋体" w:hAnsi="Arial" w:cs="Arial"/>
          <w:lang w:eastAsia="zh-CN"/>
        </w:rPr>
        <w:t>-</w:t>
      </w:r>
      <w:r>
        <w:rPr>
          <w:rFonts w:ascii="Arial" w:eastAsia="宋体" w:hAnsi="Arial" w:cs="Arial"/>
          <w:lang w:eastAsia="zh-CN"/>
        </w:rPr>
        <w:tab/>
      </w:r>
      <w:r w:rsidRPr="00DB069B">
        <w:rPr>
          <w:rFonts w:ascii="Arial" w:eastAsia="宋体" w:hAnsi="Arial" w:cs="Arial"/>
          <w:lang w:eastAsia="zh-CN"/>
        </w:rPr>
        <w:t>The source ng-eNB provides QoE Configurations to the target gNB, e.g., provides the UE Application Layer Measurement Information IE of the QMC Configuration Information IE in XnAP Handover Request message. The source ng-eNB also provides an indication that whether the QoE measurement is already configured to UE in LTE.</w:t>
      </w:r>
    </w:p>
    <w:p w14:paraId="57FC9B1F" w14:textId="6424F10D" w:rsidR="00DB069B" w:rsidRPr="00DB069B" w:rsidRDefault="00DB069B" w:rsidP="00DB069B">
      <w:pPr>
        <w:pStyle w:val="B1"/>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r>
      <w:r w:rsidRPr="00DB069B">
        <w:rPr>
          <w:rFonts w:ascii="Arial" w:eastAsia="宋体" w:hAnsi="Arial" w:cs="Arial"/>
          <w:lang w:eastAsia="zh-CN"/>
        </w:rPr>
        <w:t xml:space="preserve">The gNB allocates a </w:t>
      </w:r>
      <w:r w:rsidRPr="0076497A">
        <w:rPr>
          <w:rFonts w:ascii="Arial" w:eastAsia="宋体" w:hAnsi="Arial" w:cs="Arial"/>
          <w:i/>
          <w:iCs/>
          <w:lang w:eastAsia="zh-CN"/>
        </w:rPr>
        <w:t>measConfigAppLayerID</w:t>
      </w:r>
      <w:r w:rsidRPr="00DB069B">
        <w:rPr>
          <w:rFonts w:ascii="Arial" w:eastAsia="宋体" w:hAnsi="Arial" w:cs="Arial"/>
          <w:lang w:eastAsia="zh-CN"/>
        </w:rPr>
        <w:t xml:space="preserve"> to the on-going QoE measurement and sends an on-going QoE measurement association information in handover command, to indicate that UE associates the on-going QoE measurement.</w:t>
      </w:r>
    </w:p>
    <w:p w14:paraId="10D7E57B" w14:textId="59D242CD" w:rsidR="00DB069B" w:rsidRPr="00DB069B" w:rsidRDefault="00DB069B" w:rsidP="00DB069B">
      <w:pPr>
        <w:pStyle w:val="B1"/>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r>
      <w:r w:rsidRPr="00DB069B">
        <w:rPr>
          <w:rFonts w:ascii="Arial" w:eastAsia="宋体" w:hAnsi="Arial" w:cs="Arial"/>
          <w:lang w:eastAsia="zh-CN"/>
        </w:rPr>
        <w:t xml:space="preserve">The UE associates the on-going QoE measurement with the allocated </w:t>
      </w:r>
      <w:r w:rsidRPr="0076497A">
        <w:rPr>
          <w:rFonts w:ascii="Arial" w:eastAsia="宋体" w:hAnsi="Arial" w:cs="Arial"/>
          <w:i/>
          <w:iCs/>
          <w:lang w:eastAsia="zh-CN"/>
        </w:rPr>
        <w:t>measConfigLayerId</w:t>
      </w:r>
      <w:r w:rsidRPr="00DB069B">
        <w:rPr>
          <w:rFonts w:ascii="Arial" w:eastAsia="宋体" w:hAnsi="Arial" w:cs="Arial"/>
          <w:lang w:eastAsia="zh-CN"/>
        </w:rPr>
        <w:t xml:space="preserve"> and continue the QoE measurement after the inter-RAT handover.</w:t>
      </w:r>
    </w:p>
    <w:p w14:paraId="15D58E8D" w14:textId="77777777" w:rsidR="003A2957" w:rsidRPr="003A2957" w:rsidRDefault="003A2957" w:rsidP="003A2957">
      <w:pPr>
        <w:tabs>
          <w:tab w:val="center" w:pos="4153"/>
          <w:tab w:val="right" w:pos="8306"/>
        </w:tabs>
        <w:overflowPunct/>
        <w:autoSpaceDE/>
        <w:autoSpaceDN/>
        <w:adjustRightInd/>
        <w:spacing w:after="120"/>
        <w:jc w:val="both"/>
        <w:textAlignment w:val="auto"/>
        <w:rPr>
          <w:rFonts w:ascii="Arial" w:eastAsia="宋体" w:hAnsi="Arial" w:cs="Arial"/>
          <w:lang w:eastAsia="zh-CN"/>
        </w:rPr>
      </w:pPr>
    </w:p>
    <w:p w14:paraId="3CCA8646" w14:textId="77777777" w:rsidR="003A2957" w:rsidRPr="003A2957" w:rsidRDefault="003A2957" w:rsidP="003A2957">
      <w:pPr>
        <w:tabs>
          <w:tab w:val="center" w:pos="4153"/>
          <w:tab w:val="right" w:pos="8306"/>
        </w:tabs>
        <w:overflowPunct/>
        <w:autoSpaceDE/>
        <w:autoSpaceDN/>
        <w:adjustRightInd/>
        <w:spacing w:after="120"/>
        <w:jc w:val="both"/>
        <w:textAlignment w:val="auto"/>
        <w:rPr>
          <w:rFonts w:ascii="Arial" w:eastAsia="宋体" w:hAnsi="Arial" w:cs="Arial"/>
          <w:lang w:eastAsia="zh-CN"/>
        </w:rPr>
      </w:pPr>
    </w:p>
    <w:p w14:paraId="408DF71C" w14:textId="77777777" w:rsidR="003A2957" w:rsidRPr="003A2957" w:rsidRDefault="003A2957" w:rsidP="003A2957">
      <w:pPr>
        <w:overflowPunct/>
        <w:autoSpaceDE/>
        <w:autoSpaceDN/>
        <w:adjustRightInd/>
        <w:spacing w:after="120"/>
        <w:textAlignment w:val="auto"/>
        <w:rPr>
          <w:rFonts w:ascii="Arial" w:eastAsia="宋体" w:hAnsi="Arial" w:cs="Arial"/>
          <w:b/>
          <w:lang w:eastAsia="en-US"/>
        </w:rPr>
      </w:pPr>
      <w:r w:rsidRPr="003A2957">
        <w:rPr>
          <w:rFonts w:ascii="Arial" w:eastAsia="宋体" w:hAnsi="Arial" w:cs="Arial"/>
          <w:b/>
          <w:lang w:eastAsia="en-US"/>
        </w:rPr>
        <w:t>2. Actions:</w:t>
      </w:r>
    </w:p>
    <w:p w14:paraId="214DB22F" w14:textId="6FD8F133" w:rsidR="003A2957" w:rsidRPr="003A2957" w:rsidRDefault="003A2957" w:rsidP="003A2957">
      <w:pPr>
        <w:overflowPunct/>
        <w:autoSpaceDE/>
        <w:autoSpaceDN/>
        <w:adjustRightInd/>
        <w:spacing w:after="120"/>
        <w:ind w:left="993" w:hanging="993"/>
        <w:textAlignment w:val="auto"/>
        <w:rPr>
          <w:rFonts w:ascii="Arial" w:eastAsia="宋体" w:hAnsi="Arial" w:cs="Arial"/>
          <w:b/>
          <w:lang w:eastAsia="en-US"/>
        </w:rPr>
      </w:pPr>
      <w:r w:rsidRPr="003A2957">
        <w:rPr>
          <w:rFonts w:ascii="Arial" w:eastAsia="宋体" w:hAnsi="Arial" w:cs="Arial" w:hint="eastAsia"/>
          <w:b/>
          <w:lang w:eastAsia="zh-CN"/>
        </w:rPr>
        <w:t>To</w:t>
      </w:r>
      <w:r w:rsidRPr="003A2957">
        <w:rPr>
          <w:rFonts w:ascii="Arial" w:eastAsia="宋体" w:hAnsi="Arial" w:cs="Arial"/>
          <w:b/>
          <w:lang w:eastAsia="en-US"/>
        </w:rPr>
        <w:t xml:space="preserve"> RAN</w:t>
      </w:r>
      <w:r w:rsidR="00DB069B">
        <w:rPr>
          <w:rFonts w:ascii="Arial" w:eastAsia="宋体" w:hAnsi="Arial" w:cs="Arial"/>
          <w:b/>
          <w:lang w:eastAsia="en-US"/>
        </w:rPr>
        <w:t>2</w:t>
      </w:r>
      <w:r w:rsidRPr="003A2957">
        <w:rPr>
          <w:rFonts w:ascii="Arial" w:eastAsia="宋体" w:hAnsi="Arial" w:cs="Arial"/>
          <w:b/>
          <w:lang w:eastAsia="en-US"/>
        </w:rPr>
        <w:t xml:space="preserve"> and SA4:</w:t>
      </w:r>
    </w:p>
    <w:p w14:paraId="3CB973B7" w14:textId="3672C176" w:rsidR="003A2957" w:rsidRPr="003A2957" w:rsidRDefault="003A2957" w:rsidP="003A2957">
      <w:pPr>
        <w:overflowPunct/>
        <w:autoSpaceDE/>
        <w:autoSpaceDN/>
        <w:adjustRightInd/>
        <w:spacing w:after="120"/>
        <w:ind w:left="993" w:hanging="993"/>
        <w:textAlignment w:val="auto"/>
        <w:rPr>
          <w:rFonts w:ascii="Arial" w:eastAsia="宋体" w:hAnsi="Arial" w:cs="Arial"/>
          <w:b/>
          <w:lang w:eastAsia="en-US"/>
        </w:rPr>
      </w:pPr>
      <w:r w:rsidRPr="003A2957">
        <w:rPr>
          <w:rFonts w:ascii="Arial" w:eastAsia="宋体" w:hAnsi="Arial" w:cs="Arial"/>
          <w:b/>
          <w:lang w:eastAsia="en-US"/>
        </w:rPr>
        <w:t xml:space="preserve">ACTION: </w:t>
      </w:r>
      <w:r w:rsidRPr="003A2957">
        <w:rPr>
          <w:rFonts w:ascii="Arial" w:eastAsia="宋体" w:hAnsi="Arial" w:cs="Arial"/>
          <w:b/>
          <w:lang w:eastAsia="en-US"/>
        </w:rPr>
        <w:tab/>
      </w:r>
      <w:r w:rsidRPr="003A2957">
        <w:rPr>
          <w:rFonts w:ascii="Arial" w:eastAsia="宋体" w:hAnsi="Arial" w:cs="Arial"/>
          <w:lang w:eastAsia="en-US"/>
        </w:rPr>
        <w:t>RAN</w:t>
      </w:r>
      <w:r w:rsidR="00DB069B">
        <w:rPr>
          <w:rFonts w:ascii="Arial" w:eastAsia="宋体" w:hAnsi="Arial" w:cs="Arial"/>
          <w:lang w:eastAsia="en-US"/>
        </w:rPr>
        <w:t>3</w:t>
      </w:r>
      <w:r w:rsidRPr="003A2957">
        <w:rPr>
          <w:rFonts w:ascii="Arial" w:eastAsia="宋体" w:hAnsi="Arial" w:cs="Arial"/>
          <w:lang w:eastAsia="en-US"/>
        </w:rPr>
        <w:t xml:space="preserve"> respectfully asks RAN</w:t>
      </w:r>
      <w:r w:rsidR="00DB069B">
        <w:rPr>
          <w:rFonts w:ascii="Arial" w:eastAsia="宋体" w:hAnsi="Arial" w:cs="Arial"/>
          <w:lang w:eastAsia="en-US"/>
        </w:rPr>
        <w:t>2</w:t>
      </w:r>
      <w:r w:rsidRPr="003A2957">
        <w:rPr>
          <w:rFonts w:ascii="Arial" w:eastAsia="宋体" w:hAnsi="Arial" w:cs="Arial"/>
          <w:lang w:eastAsia="en-US"/>
        </w:rPr>
        <w:t xml:space="preserve"> and SA4 to take the RAN</w:t>
      </w:r>
      <w:r w:rsidR="00DB069B">
        <w:rPr>
          <w:rFonts w:ascii="Arial" w:eastAsia="宋体" w:hAnsi="Arial" w:cs="Arial"/>
          <w:lang w:eastAsia="en-US"/>
        </w:rPr>
        <w:t>3</w:t>
      </w:r>
      <w:r w:rsidRPr="003A2957">
        <w:rPr>
          <w:rFonts w:ascii="Arial" w:eastAsia="宋体" w:hAnsi="Arial" w:cs="Arial"/>
          <w:lang w:eastAsia="en-US"/>
        </w:rPr>
        <w:t xml:space="preserve"> agreements into account.</w:t>
      </w:r>
    </w:p>
    <w:p w14:paraId="319907A0" w14:textId="77777777" w:rsidR="003A2957" w:rsidRPr="003A2957" w:rsidRDefault="003A2957" w:rsidP="003A2957">
      <w:pPr>
        <w:overflowPunct/>
        <w:autoSpaceDE/>
        <w:autoSpaceDN/>
        <w:adjustRightInd/>
        <w:spacing w:after="120"/>
        <w:textAlignment w:val="auto"/>
        <w:rPr>
          <w:rFonts w:ascii="Arial" w:eastAsia="宋体" w:hAnsi="Arial" w:cs="Arial"/>
          <w:b/>
          <w:lang w:eastAsia="en-US"/>
        </w:rPr>
      </w:pPr>
    </w:p>
    <w:p w14:paraId="56C65E4A" w14:textId="77777777" w:rsidR="003A2957" w:rsidRPr="003A2957" w:rsidRDefault="003A2957" w:rsidP="003A2957">
      <w:pPr>
        <w:overflowPunct/>
        <w:autoSpaceDE/>
        <w:autoSpaceDN/>
        <w:adjustRightInd/>
        <w:spacing w:after="120"/>
        <w:textAlignment w:val="auto"/>
        <w:rPr>
          <w:rFonts w:ascii="Arial" w:eastAsia="宋体" w:hAnsi="Arial" w:cs="Arial"/>
          <w:b/>
          <w:lang w:eastAsia="en-US"/>
        </w:rPr>
      </w:pPr>
      <w:r w:rsidRPr="003A2957">
        <w:rPr>
          <w:rFonts w:ascii="Arial" w:eastAsia="宋体" w:hAnsi="Arial" w:cs="Arial"/>
          <w:b/>
          <w:lang w:eastAsia="en-US"/>
        </w:rPr>
        <w:t>3. Date of Next RAN2 Meetings:</w:t>
      </w:r>
    </w:p>
    <w:p w14:paraId="131C1C92" w14:textId="6B65C021" w:rsidR="003A2957" w:rsidRPr="003A2957" w:rsidRDefault="003A2957" w:rsidP="003A2957">
      <w:pPr>
        <w:tabs>
          <w:tab w:val="left" w:pos="3119"/>
        </w:tabs>
        <w:overflowPunct/>
        <w:autoSpaceDE/>
        <w:autoSpaceDN/>
        <w:adjustRightInd/>
        <w:spacing w:after="120"/>
        <w:ind w:left="2268" w:hanging="2268"/>
        <w:textAlignment w:val="auto"/>
        <w:rPr>
          <w:rFonts w:ascii="Arial" w:eastAsia="宋体" w:hAnsi="Arial" w:cs="Arial"/>
          <w:bCs/>
          <w:lang w:eastAsia="en-US"/>
        </w:rPr>
      </w:pPr>
      <w:r w:rsidRPr="003A2957">
        <w:rPr>
          <w:rFonts w:ascii="Arial" w:eastAsia="宋体" w:hAnsi="Arial" w:cs="Arial"/>
          <w:bCs/>
          <w:lang w:eastAsia="en-US"/>
        </w:rPr>
        <w:t>3GPP RAN</w:t>
      </w:r>
      <w:r w:rsidR="00E14189">
        <w:rPr>
          <w:rFonts w:ascii="Arial" w:eastAsia="宋体" w:hAnsi="Arial" w:cs="Arial"/>
          <w:bCs/>
          <w:lang w:eastAsia="en-US"/>
        </w:rPr>
        <w:t>3</w:t>
      </w:r>
      <w:r w:rsidRPr="003A2957">
        <w:rPr>
          <w:rFonts w:ascii="Arial" w:eastAsia="宋体" w:hAnsi="Arial" w:cs="Arial"/>
          <w:bCs/>
          <w:lang w:eastAsia="en-US"/>
        </w:rPr>
        <w:t>#121bis</w:t>
      </w:r>
      <w:r w:rsidRPr="003A2957">
        <w:rPr>
          <w:rFonts w:ascii="Arial" w:eastAsia="宋体" w:hAnsi="Arial" w:cs="Arial"/>
          <w:bCs/>
          <w:lang w:eastAsia="en-US"/>
        </w:rPr>
        <w:tab/>
        <w:t>from 2023-</w:t>
      </w:r>
      <w:r w:rsidR="00312EA1">
        <w:rPr>
          <w:rFonts w:ascii="Arial" w:eastAsia="宋体" w:hAnsi="Arial" w:cs="Arial"/>
          <w:bCs/>
          <w:lang w:eastAsia="en-US"/>
        </w:rPr>
        <w:t>10</w:t>
      </w:r>
      <w:r w:rsidRPr="003A2957">
        <w:rPr>
          <w:rFonts w:ascii="Arial" w:eastAsia="宋体" w:hAnsi="Arial" w:cs="Arial"/>
          <w:bCs/>
          <w:lang w:eastAsia="en-US"/>
        </w:rPr>
        <w:t>-</w:t>
      </w:r>
      <w:r w:rsidR="00312EA1">
        <w:rPr>
          <w:rFonts w:ascii="Arial" w:eastAsia="宋体" w:hAnsi="Arial" w:cs="Arial"/>
          <w:bCs/>
          <w:lang w:eastAsia="en-US"/>
        </w:rPr>
        <w:t>09</w:t>
      </w:r>
      <w:r w:rsidRPr="003A2957">
        <w:rPr>
          <w:rFonts w:ascii="Arial" w:eastAsia="宋体" w:hAnsi="Arial" w:cs="Arial"/>
          <w:bCs/>
          <w:lang w:eastAsia="en-US"/>
        </w:rPr>
        <w:tab/>
        <w:t>to 2023-</w:t>
      </w:r>
      <w:r w:rsidR="00312EA1">
        <w:rPr>
          <w:rFonts w:ascii="Arial" w:eastAsia="宋体" w:hAnsi="Arial" w:cs="Arial"/>
          <w:bCs/>
          <w:lang w:eastAsia="en-US"/>
        </w:rPr>
        <w:t>10</w:t>
      </w:r>
      <w:r w:rsidRPr="003A2957">
        <w:rPr>
          <w:rFonts w:ascii="Arial" w:eastAsia="宋体" w:hAnsi="Arial" w:cs="Arial"/>
          <w:bCs/>
          <w:lang w:eastAsia="en-US"/>
        </w:rPr>
        <w:t>-</w:t>
      </w:r>
      <w:r w:rsidR="00312EA1">
        <w:rPr>
          <w:rFonts w:ascii="Arial" w:eastAsia="宋体" w:hAnsi="Arial" w:cs="Arial"/>
          <w:bCs/>
          <w:lang w:eastAsia="en-US"/>
        </w:rPr>
        <w:t>13</w:t>
      </w:r>
      <w:r w:rsidRPr="003A2957">
        <w:rPr>
          <w:rFonts w:ascii="Arial" w:eastAsia="宋体" w:hAnsi="Arial" w:cs="Arial"/>
          <w:bCs/>
          <w:lang w:eastAsia="en-US"/>
        </w:rPr>
        <w:tab/>
      </w:r>
      <w:r w:rsidRPr="003A2957">
        <w:rPr>
          <w:rFonts w:ascii="Arial" w:eastAsia="宋体" w:hAnsi="Arial" w:cs="Arial"/>
          <w:bCs/>
          <w:lang w:eastAsia="en-US"/>
        </w:rPr>
        <w:tab/>
      </w:r>
      <w:r w:rsidR="00312EA1">
        <w:rPr>
          <w:rFonts w:ascii="Arial" w:eastAsia="宋体" w:hAnsi="Arial" w:cs="Arial"/>
          <w:bCs/>
          <w:lang w:eastAsia="en-US"/>
        </w:rPr>
        <w:t>Xiamen, CN</w:t>
      </w:r>
    </w:p>
    <w:p w14:paraId="3880BECB" w14:textId="5691D3BE" w:rsidR="003A2957" w:rsidRPr="003A2957" w:rsidRDefault="003A2957" w:rsidP="003A2957">
      <w:pPr>
        <w:tabs>
          <w:tab w:val="left" w:pos="3119"/>
        </w:tabs>
        <w:overflowPunct/>
        <w:autoSpaceDE/>
        <w:autoSpaceDN/>
        <w:adjustRightInd/>
        <w:spacing w:after="120"/>
        <w:ind w:left="2268" w:hanging="2268"/>
        <w:textAlignment w:val="auto"/>
        <w:rPr>
          <w:rFonts w:ascii="Arial" w:eastAsia="宋体" w:hAnsi="Arial" w:cs="Arial"/>
          <w:bCs/>
          <w:lang w:eastAsia="en-US"/>
        </w:rPr>
      </w:pPr>
      <w:r w:rsidRPr="003A2957">
        <w:rPr>
          <w:rFonts w:ascii="Arial" w:eastAsia="宋体" w:hAnsi="Arial" w:cs="Arial"/>
          <w:bCs/>
          <w:lang w:eastAsia="en-US"/>
        </w:rPr>
        <w:t>3GPP RAN</w:t>
      </w:r>
      <w:r w:rsidR="00312EA1">
        <w:rPr>
          <w:rFonts w:ascii="Arial" w:eastAsia="宋体" w:hAnsi="Arial" w:cs="Arial"/>
          <w:bCs/>
          <w:lang w:eastAsia="en-US"/>
        </w:rPr>
        <w:t>3</w:t>
      </w:r>
      <w:r w:rsidRPr="003A2957">
        <w:rPr>
          <w:rFonts w:ascii="Arial" w:eastAsia="宋体" w:hAnsi="Arial" w:cs="Arial"/>
          <w:bCs/>
          <w:lang w:eastAsia="en-US"/>
        </w:rPr>
        <w:t>#122</w:t>
      </w:r>
      <w:r w:rsidRPr="003A2957">
        <w:rPr>
          <w:rFonts w:ascii="Arial" w:eastAsia="宋体" w:hAnsi="Arial" w:cs="Arial"/>
          <w:bCs/>
          <w:lang w:eastAsia="en-US"/>
        </w:rPr>
        <w:tab/>
        <w:t>from 2023-</w:t>
      </w:r>
      <w:r w:rsidR="00312EA1">
        <w:rPr>
          <w:rFonts w:ascii="Arial" w:eastAsia="宋体" w:hAnsi="Arial" w:cs="Arial"/>
          <w:bCs/>
          <w:lang w:eastAsia="en-US"/>
        </w:rPr>
        <w:t>11</w:t>
      </w:r>
      <w:r w:rsidRPr="003A2957">
        <w:rPr>
          <w:rFonts w:ascii="Arial" w:eastAsia="宋体" w:hAnsi="Arial" w:cs="Arial"/>
          <w:bCs/>
          <w:lang w:eastAsia="en-US"/>
        </w:rPr>
        <w:t>-</w:t>
      </w:r>
      <w:r w:rsidR="00312EA1">
        <w:rPr>
          <w:rFonts w:ascii="Arial" w:eastAsia="宋体" w:hAnsi="Arial" w:cs="Arial"/>
          <w:bCs/>
          <w:lang w:eastAsia="en-US"/>
        </w:rPr>
        <w:t>13</w:t>
      </w:r>
      <w:r w:rsidRPr="003A2957">
        <w:rPr>
          <w:rFonts w:ascii="Arial" w:eastAsia="宋体" w:hAnsi="Arial" w:cs="Arial"/>
          <w:bCs/>
          <w:lang w:eastAsia="en-US"/>
        </w:rPr>
        <w:tab/>
        <w:t>to 2023-</w:t>
      </w:r>
      <w:r w:rsidR="00312EA1">
        <w:rPr>
          <w:rFonts w:ascii="Arial" w:eastAsia="宋体" w:hAnsi="Arial" w:cs="Arial"/>
          <w:bCs/>
          <w:lang w:eastAsia="en-US"/>
        </w:rPr>
        <w:t>11</w:t>
      </w:r>
      <w:r w:rsidRPr="003A2957">
        <w:rPr>
          <w:rFonts w:ascii="Arial" w:eastAsia="宋体" w:hAnsi="Arial" w:cs="Arial"/>
          <w:bCs/>
          <w:lang w:eastAsia="en-US"/>
        </w:rPr>
        <w:t>-</w:t>
      </w:r>
      <w:r w:rsidR="00312EA1">
        <w:rPr>
          <w:rFonts w:ascii="Arial" w:eastAsia="宋体" w:hAnsi="Arial" w:cs="Arial"/>
          <w:bCs/>
          <w:lang w:eastAsia="en-US"/>
        </w:rPr>
        <w:t>17</w:t>
      </w:r>
      <w:r w:rsidRPr="003A2957">
        <w:rPr>
          <w:rFonts w:ascii="Arial" w:eastAsia="宋体" w:hAnsi="Arial" w:cs="Arial"/>
          <w:bCs/>
          <w:lang w:eastAsia="en-US"/>
        </w:rPr>
        <w:tab/>
      </w:r>
      <w:r w:rsidRPr="003A2957">
        <w:rPr>
          <w:rFonts w:ascii="Arial" w:eastAsia="宋体" w:hAnsi="Arial" w:cs="Arial"/>
          <w:bCs/>
          <w:lang w:eastAsia="en-US"/>
        </w:rPr>
        <w:tab/>
      </w:r>
      <w:r w:rsidR="00312EA1">
        <w:rPr>
          <w:rFonts w:ascii="Arial" w:eastAsia="宋体" w:hAnsi="Arial" w:cs="Arial"/>
          <w:bCs/>
          <w:lang w:eastAsia="en-US"/>
        </w:rPr>
        <w:t>Chicago</w:t>
      </w:r>
      <w:r w:rsidRPr="003A2957">
        <w:rPr>
          <w:rFonts w:ascii="Arial" w:eastAsia="宋体" w:hAnsi="Arial" w:cs="Arial"/>
          <w:bCs/>
          <w:lang w:eastAsia="en-US"/>
        </w:rPr>
        <w:t xml:space="preserve">, </w:t>
      </w:r>
      <w:r w:rsidR="00312EA1">
        <w:rPr>
          <w:rFonts w:ascii="Arial" w:eastAsia="宋体" w:hAnsi="Arial" w:cs="Arial"/>
          <w:bCs/>
          <w:lang w:eastAsia="en-US"/>
        </w:rPr>
        <w:t>US</w:t>
      </w:r>
    </w:p>
    <w:p w14:paraId="708310C1" w14:textId="77777777" w:rsidR="00441399" w:rsidRPr="003A2957" w:rsidRDefault="00441399" w:rsidP="00441399">
      <w:pPr>
        <w:rPr>
          <w:rFonts w:eastAsiaTheme="minorEastAsia"/>
          <w:lang w:eastAsia="zh-CN"/>
        </w:rPr>
      </w:pPr>
    </w:p>
    <w:sectPr w:rsidR="00441399" w:rsidRPr="003A295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BB88" w14:textId="77777777" w:rsidR="0070001B" w:rsidRDefault="0070001B">
      <w:pPr>
        <w:spacing w:after="0"/>
      </w:pPr>
      <w:r>
        <w:separator/>
      </w:r>
    </w:p>
  </w:endnote>
  <w:endnote w:type="continuationSeparator" w:id="0">
    <w:p w14:paraId="5C7119C4" w14:textId="77777777" w:rsidR="0070001B" w:rsidRDefault="00700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1295E" w14:textId="77777777" w:rsidR="0070001B" w:rsidRDefault="0070001B">
      <w:pPr>
        <w:spacing w:after="0"/>
      </w:pPr>
      <w:r>
        <w:separator/>
      </w:r>
    </w:p>
  </w:footnote>
  <w:footnote w:type="continuationSeparator" w:id="0">
    <w:p w14:paraId="5C70F43F" w14:textId="77777777" w:rsidR="0070001B" w:rsidRDefault="00700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E2D74"/>
    <w:multiLevelType w:val="hybridMultilevel"/>
    <w:tmpl w:val="D91E15F6"/>
    <w:lvl w:ilvl="0" w:tplc="31C47B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F3DCE9F0"/>
    <w:lvl w:ilvl="0" w:tplc="5376650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233D39"/>
    <w:multiLevelType w:val="hybridMultilevel"/>
    <w:tmpl w:val="74D461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num w:numId="1" w16cid:durableId="2106725149">
    <w:abstractNumId w:val="12"/>
  </w:num>
  <w:num w:numId="2" w16cid:durableId="705713418">
    <w:abstractNumId w:val="11"/>
  </w:num>
  <w:num w:numId="3" w16cid:durableId="170225468">
    <w:abstractNumId w:val="8"/>
  </w:num>
  <w:num w:numId="4" w16cid:durableId="390885023">
    <w:abstractNumId w:val="1"/>
  </w:num>
  <w:num w:numId="5" w16cid:durableId="999429711">
    <w:abstractNumId w:val="3"/>
  </w:num>
  <w:num w:numId="6" w16cid:durableId="444465653">
    <w:abstractNumId w:val="14"/>
  </w:num>
  <w:num w:numId="7" w16cid:durableId="1963339073">
    <w:abstractNumId w:val="5"/>
  </w:num>
  <w:num w:numId="8" w16cid:durableId="1611428797">
    <w:abstractNumId w:val="9"/>
  </w:num>
  <w:num w:numId="9" w16cid:durableId="634408817">
    <w:abstractNumId w:val="6"/>
  </w:num>
  <w:num w:numId="10" w16cid:durableId="778377723">
    <w:abstractNumId w:val="7"/>
  </w:num>
  <w:num w:numId="11" w16cid:durableId="1668899622">
    <w:abstractNumId w:val="13"/>
  </w:num>
  <w:num w:numId="12" w16cid:durableId="2042197800">
    <w:abstractNumId w:val="2"/>
  </w:num>
  <w:num w:numId="13" w16cid:durableId="512186013">
    <w:abstractNumId w:val="6"/>
    <w:lvlOverride w:ilvl="0">
      <w:startOverride w:val="1"/>
    </w:lvlOverride>
  </w:num>
  <w:num w:numId="14" w16cid:durableId="2139950338">
    <w:abstractNumId w:val="6"/>
  </w:num>
  <w:num w:numId="15" w16cid:durableId="1956673808">
    <w:abstractNumId w:val="6"/>
  </w:num>
  <w:num w:numId="16" w16cid:durableId="829103574">
    <w:abstractNumId w:val="6"/>
  </w:num>
  <w:num w:numId="17" w16cid:durableId="811866213">
    <w:abstractNumId w:val="6"/>
  </w:num>
  <w:num w:numId="18" w16cid:durableId="681862635">
    <w:abstractNumId w:val="10"/>
  </w:num>
  <w:num w:numId="19" w16cid:durableId="1886060998">
    <w:abstractNumId w:val="6"/>
  </w:num>
  <w:num w:numId="20" w16cid:durableId="1214349038">
    <w:abstractNumId w:val="6"/>
  </w:num>
  <w:num w:numId="21" w16cid:durableId="927226965">
    <w:abstractNumId w:val="0"/>
  </w:num>
  <w:num w:numId="22" w16cid:durableId="190337093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F2D"/>
    <w:rsid w:val="00017C13"/>
    <w:rsid w:val="00017F23"/>
    <w:rsid w:val="0002218A"/>
    <w:rsid w:val="00023C70"/>
    <w:rsid w:val="00023E1B"/>
    <w:rsid w:val="00025166"/>
    <w:rsid w:val="00026818"/>
    <w:rsid w:val="0002710A"/>
    <w:rsid w:val="0002751E"/>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2902"/>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59F9"/>
    <w:rsid w:val="000F6242"/>
    <w:rsid w:val="00100365"/>
    <w:rsid w:val="00102032"/>
    <w:rsid w:val="001026A7"/>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498"/>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FC6"/>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19F4"/>
    <w:rsid w:val="001D2049"/>
    <w:rsid w:val="001D23DC"/>
    <w:rsid w:val="001D2903"/>
    <w:rsid w:val="001D2DF4"/>
    <w:rsid w:val="001D3FCD"/>
    <w:rsid w:val="001D4FD2"/>
    <w:rsid w:val="001D73DD"/>
    <w:rsid w:val="001E11DA"/>
    <w:rsid w:val="001E1F5C"/>
    <w:rsid w:val="001E2093"/>
    <w:rsid w:val="001E2AB7"/>
    <w:rsid w:val="001E5034"/>
    <w:rsid w:val="001E6895"/>
    <w:rsid w:val="001E7E62"/>
    <w:rsid w:val="001F0017"/>
    <w:rsid w:val="001F1896"/>
    <w:rsid w:val="001F33CA"/>
    <w:rsid w:val="001F403A"/>
    <w:rsid w:val="001F437B"/>
    <w:rsid w:val="001F4CC8"/>
    <w:rsid w:val="001F65A7"/>
    <w:rsid w:val="00200361"/>
    <w:rsid w:val="002008A8"/>
    <w:rsid w:val="00200C42"/>
    <w:rsid w:val="00202EB0"/>
    <w:rsid w:val="0020311B"/>
    <w:rsid w:val="00203A19"/>
    <w:rsid w:val="0020484B"/>
    <w:rsid w:val="00206576"/>
    <w:rsid w:val="00206876"/>
    <w:rsid w:val="0020701D"/>
    <w:rsid w:val="00210E72"/>
    <w:rsid w:val="00212BB8"/>
    <w:rsid w:val="00212F14"/>
    <w:rsid w:val="002152A9"/>
    <w:rsid w:val="002155E6"/>
    <w:rsid w:val="002178BD"/>
    <w:rsid w:val="00217C91"/>
    <w:rsid w:val="002201A1"/>
    <w:rsid w:val="0022072C"/>
    <w:rsid w:val="00221DC2"/>
    <w:rsid w:val="00221F21"/>
    <w:rsid w:val="00222190"/>
    <w:rsid w:val="0022383F"/>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377D"/>
    <w:rsid w:val="002F73B4"/>
    <w:rsid w:val="00300B4D"/>
    <w:rsid w:val="00301FCF"/>
    <w:rsid w:val="0030492B"/>
    <w:rsid w:val="0030494D"/>
    <w:rsid w:val="003059D1"/>
    <w:rsid w:val="00305D16"/>
    <w:rsid w:val="00305D46"/>
    <w:rsid w:val="0030717C"/>
    <w:rsid w:val="0030723B"/>
    <w:rsid w:val="0031139C"/>
    <w:rsid w:val="00311454"/>
    <w:rsid w:val="003115ED"/>
    <w:rsid w:val="00312232"/>
    <w:rsid w:val="00312EA1"/>
    <w:rsid w:val="00314F6D"/>
    <w:rsid w:val="00315322"/>
    <w:rsid w:val="0031619A"/>
    <w:rsid w:val="00316516"/>
    <w:rsid w:val="003166DB"/>
    <w:rsid w:val="003211DD"/>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2957"/>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0C28"/>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34DF"/>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2ED"/>
    <w:rsid w:val="00433500"/>
    <w:rsid w:val="00433E6B"/>
    <w:rsid w:val="00433F71"/>
    <w:rsid w:val="004376E8"/>
    <w:rsid w:val="00440A2C"/>
    <w:rsid w:val="00441399"/>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32C9"/>
    <w:rsid w:val="00476F46"/>
    <w:rsid w:val="004804D6"/>
    <w:rsid w:val="004817E4"/>
    <w:rsid w:val="00481F35"/>
    <w:rsid w:val="00482ABA"/>
    <w:rsid w:val="00484529"/>
    <w:rsid w:val="00485DF9"/>
    <w:rsid w:val="00485E03"/>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9E1"/>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6511D"/>
    <w:rsid w:val="005706DE"/>
    <w:rsid w:val="00570E77"/>
    <w:rsid w:val="00571043"/>
    <w:rsid w:val="00571E21"/>
    <w:rsid w:val="005727FD"/>
    <w:rsid w:val="00573519"/>
    <w:rsid w:val="00573DED"/>
    <w:rsid w:val="0057406A"/>
    <w:rsid w:val="005746EE"/>
    <w:rsid w:val="00574E15"/>
    <w:rsid w:val="00575B1E"/>
    <w:rsid w:val="005767E1"/>
    <w:rsid w:val="00580FD3"/>
    <w:rsid w:val="00581C84"/>
    <w:rsid w:val="00585A38"/>
    <w:rsid w:val="00585B53"/>
    <w:rsid w:val="00586AFA"/>
    <w:rsid w:val="00587BD8"/>
    <w:rsid w:val="005911CD"/>
    <w:rsid w:val="00593D85"/>
    <w:rsid w:val="0059512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2C94"/>
    <w:rsid w:val="005C32E8"/>
    <w:rsid w:val="005C3310"/>
    <w:rsid w:val="005C492F"/>
    <w:rsid w:val="005C49C3"/>
    <w:rsid w:val="005C54FF"/>
    <w:rsid w:val="005C5755"/>
    <w:rsid w:val="005C7C5B"/>
    <w:rsid w:val="005D321C"/>
    <w:rsid w:val="005D429B"/>
    <w:rsid w:val="005D495F"/>
    <w:rsid w:val="005D650B"/>
    <w:rsid w:val="005D6916"/>
    <w:rsid w:val="005D6C53"/>
    <w:rsid w:val="005E39E6"/>
    <w:rsid w:val="005E3E6B"/>
    <w:rsid w:val="005F0150"/>
    <w:rsid w:val="005F1FA5"/>
    <w:rsid w:val="005F23D1"/>
    <w:rsid w:val="005F3055"/>
    <w:rsid w:val="005F335E"/>
    <w:rsid w:val="005F4FF9"/>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B781B"/>
    <w:rsid w:val="006C05DA"/>
    <w:rsid w:val="006C10D2"/>
    <w:rsid w:val="006C144B"/>
    <w:rsid w:val="006C1FBE"/>
    <w:rsid w:val="006C2A3D"/>
    <w:rsid w:val="006C3623"/>
    <w:rsid w:val="006C50C7"/>
    <w:rsid w:val="006D14CE"/>
    <w:rsid w:val="006D1DBB"/>
    <w:rsid w:val="006D47ED"/>
    <w:rsid w:val="006D5125"/>
    <w:rsid w:val="006D70DB"/>
    <w:rsid w:val="006E0145"/>
    <w:rsid w:val="006E0158"/>
    <w:rsid w:val="006E1DD6"/>
    <w:rsid w:val="006E2882"/>
    <w:rsid w:val="006E53DB"/>
    <w:rsid w:val="006E6460"/>
    <w:rsid w:val="006E6CA5"/>
    <w:rsid w:val="006E70E9"/>
    <w:rsid w:val="006E7646"/>
    <w:rsid w:val="006E786E"/>
    <w:rsid w:val="006E7CFD"/>
    <w:rsid w:val="006F1D8A"/>
    <w:rsid w:val="006F4910"/>
    <w:rsid w:val="006F54B1"/>
    <w:rsid w:val="006F5A9E"/>
    <w:rsid w:val="006F5C26"/>
    <w:rsid w:val="006F6144"/>
    <w:rsid w:val="0070001B"/>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5BF"/>
    <w:rsid w:val="00716909"/>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57F8E"/>
    <w:rsid w:val="00760A52"/>
    <w:rsid w:val="00761189"/>
    <w:rsid w:val="00762CAE"/>
    <w:rsid w:val="0076375F"/>
    <w:rsid w:val="00763FFF"/>
    <w:rsid w:val="0076497A"/>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FF9"/>
    <w:rsid w:val="00807F0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B78"/>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5547"/>
    <w:rsid w:val="00866B74"/>
    <w:rsid w:val="00866D68"/>
    <w:rsid w:val="0087038C"/>
    <w:rsid w:val="00870A5F"/>
    <w:rsid w:val="00870E2F"/>
    <w:rsid w:val="00870FEE"/>
    <w:rsid w:val="0087132C"/>
    <w:rsid w:val="00871773"/>
    <w:rsid w:val="008720B9"/>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3DC0"/>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2BA5"/>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3708"/>
    <w:rsid w:val="0096404F"/>
    <w:rsid w:val="00965674"/>
    <w:rsid w:val="00965A13"/>
    <w:rsid w:val="00966940"/>
    <w:rsid w:val="00966AEF"/>
    <w:rsid w:val="009672CA"/>
    <w:rsid w:val="009714A1"/>
    <w:rsid w:val="00972390"/>
    <w:rsid w:val="009735C1"/>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2A4D"/>
    <w:rsid w:val="009D328C"/>
    <w:rsid w:val="009D3E9A"/>
    <w:rsid w:val="009D4C05"/>
    <w:rsid w:val="009D67D9"/>
    <w:rsid w:val="009D6E26"/>
    <w:rsid w:val="009D7C41"/>
    <w:rsid w:val="009E3A54"/>
    <w:rsid w:val="009E4E3F"/>
    <w:rsid w:val="009E54BD"/>
    <w:rsid w:val="009E5606"/>
    <w:rsid w:val="009E64DF"/>
    <w:rsid w:val="009E7503"/>
    <w:rsid w:val="009E7539"/>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5E56"/>
    <w:rsid w:val="00A23626"/>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0DA0"/>
    <w:rsid w:val="00A52A31"/>
    <w:rsid w:val="00A54D5F"/>
    <w:rsid w:val="00A55D1F"/>
    <w:rsid w:val="00A55D23"/>
    <w:rsid w:val="00A56501"/>
    <w:rsid w:val="00A63719"/>
    <w:rsid w:val="00A63D09"/>
    <w:rsid w:val="00A63EF4"/>
    <w:rsid w:val="00A6571A"/>
    <w:rsid w:val="00A669BF"/>
    <w:rsid w:val="00A67D38"/>
    <w:rsid w:val="00A71FE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5EC5"/>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0994"/>
    <w:rsid w:val="00AE1143"/>
    <w:rsid w:val="00AE13C9"/>
    <w:rsid w:val="00AE256E"/>
    <w:rsid w:val="00AE45FA"/>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10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3190"/>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49C"/>
    <w:rsid w:val="00BC3561"/>
    <w:rsid w:val="00BC389A"/>
    <w:rsid w:val="00BC3D0F"/>
    <w:rsid w:val="00BC3ECB"/>
    <w:rsid w:val="00BC446A"/>
    <w:rsid w:val="00BC58C8"/>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BDF"/>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27763"/>
    <w:rsid w:val="00C300FF"/>
    <w:rsid w:val="00C3130D"/>
    <w:rsid w:val="00C32FB2"/>
    <w:rsid w:val="00C41130"/>
    <w:rsid w:val="00C4239C"/>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97E"/>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27357"/>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77EBF"/>
    <w:rsid w:val="00D802B9"/>
    <w:rsid w:val="00D83AE3"/>
    <w:rsid w:val="00D83B99"/>
    <w:rsid w:val="00D83F77"/>
    <w:rsid w:val="00D8466F"/>
    <w:rsid w:val="00D85CEF"/>
    <w:rsid w:val="00D8643E"/>
    <w:rsid w:val="00D9096F"/>
    <w:rsid w:val="00D92A4E"/>
    <w:rsid w:val="00D937E4"/>
    <w:rsid w:val="00D93CA4"/>
    <w:rsid w:val="00D957C4"/>
    <w:rsid w:val="00D9631B"/>
    <w:rsid w:val="00D96F68"/>
    <w:rsid w:val="00D97B58"/>
    <w:rsid w:val="00D97E23"/>
    <w:rsid w:val="00DA0E89"/>
    <w:rsid w:val="00DA2AF7"/>
    <w:rsid w:val="00DA4FA4"/>
    <w:rsid w:val="00DA6D5A"/>
    <w:rsid w:val="00DB069B"/>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CAD"/>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189"/>
    <w:rsid w:val="00E14495"/>
    <w:rsid w:val="00E14EBC"/>
    <w:rsid w:val="00E17963"/>
    <w:rsid w:val="00E21396"/>
    <w:rsid w:val="00E2249A"/>
    <w:rsid w:val="00E2345B"/>
    <w:rsid w:val="00E236F5"/>
    <w:rsid w:val="00E24506"/>
    <w:rsid w:val="00E26258"/>
    <w:rsid w:val="00E27B9B"/>
    <w:rsid w:val="00E301E1"/>
    <w:rsid w:val="00E30881"/>
    <w:rsid w:val="00E31A9D"/>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6EB8"/>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497F"/>
    <w:rsid w:val="00F451FA"/>
    <w:rsid w:val="00F46671"/>
    <w:rsid w:val="00F4696A"/>
    <w:rsid w:val="00F47D6D"/>
    <w:rsid w:val="00F50862"/>
    <w:rsid w:val="00F509C9"/>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3B61"/>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77"/>
    <w:rsid w:val="00FB28F2"/>
    <w:rsid w:val="00FB4C41"/>
    <w:rsid w:val="00FB5154"/>
    <w:rsid w:val="00FB7A9A"/>
    <w:rsid w:val="00FC1FFD"/>
    <w:rsid w:val="00FC221C"/>
    <w:rsid w:val="00FC292D"/>
    <w:rsid w:val="00FC347D"/>
    <w:rsid w:val="00FC453C"/>
    <w:rsid w:val="00FC4BB5"/>
    <w:rsid w:val="00FC57A4"/>
    <w:rsid w:val="00FD0399"/>
    <w:rsid w:val="00FD0DFA"/>
    <w:rsid w:val="00FD0FEF"/>
    <w:rsid w:val="00FD1C3A"/>
    <w:rsid w:val="00FD1DF0"/>
    <w:rsid w:val="00FD20F6"/>
    <w:rsid w:val="00FD29B4"/>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25">
    <w:name w:val="列表段落2"/>
    <w:basedOn w:val="a"/>
    <w:rsid w:val="004332ED"/>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file:///D:\&#20250;&#35758;&#30828;&#30424;\TSGR3_119bis-e\Docs\R3-2311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file:///D:\&#20250;&#35758;&#30828;&#30424;\TSGR3_119bis-e\Docs\R3-23111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1919</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46</cp:revision>
  <cp:lastPrinted>2018-05-22T10:28:00Z</cp:lastPrinted>
  <dcterms:created xsi:type="dcterms:W3CDTF">2023-05-09T01:04:00Z</dcterms:created>
  <dcterms:modified xsi:type="dcterms:W3CDTF">2023-08-11T00:32:00Z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